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keepNext/>
        <w:keepLines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after="0" w:lineRule="auto" w:line="300"/>
        <w:jc w:val="left"/>
        <w:textAlignment w:val="auto"/>
        <w:contextualSpacing/>
        <w:rPr>
          <w:rFonts w:ascii="宋体" w:eastAsia="宋体" w:hAnsi="宋体"/>
          <w:b w:val="false"/>
          <w:bCs w:val="false"/>
          <w:color w:val="auto"/>
          <w:sz w:val="28"/>
          <w:szCs w:val="28"/>
        </w:rPr>
      </w:pPr>
      <w:r>
        <w:rPr>
          <w:rFonts w:ascii="宋体" w:eastAsia="宋体" w:hAnsi="宋体" w:hint="eastAsia"/>
          <w:b w:val="false"/>
          <w:bCs w:val="false"/>
          <w:color w:val="auto"/>
          <w:sz w:val="28"/>
          <w:szCs w:val="28"/>
        </w:rPr>
        <w:t>附件1</w:t>
      </w:r>
    </w:p>
    <w:p>
      <w:pPr>
        <w:pStyle w:val="style1"/>
        <w:keepNext/>
        <w:keepLines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after="0" w:lineRule="auto" w:line="360"/>
        <w:jc w:val="center"/>
        <w:textAlignment w:val="auto"/>
        <w:contextualSpacing/>
        <w:rPr>
          <w:rFonts w:ascii="宋体" w:cs="宋体" w:eastAsia="宋体" w:hAnsi="宋体" w:hint="eastAsia"/>
          <w:color w:val="auto"/>
          <w:sz w:val="44"/>
          <w:szCs w:val="44"/>
          <w:lang w:eastAsia="zh-CN"/>
        </w:rPr>
      </w:pPr>
      <w:r>
        <w:rPr>
          <w:rFonts w:ascii="宋体" w:cs="宋体" w:eastAsia="宋体" w:hAnsi="宋体" w:hint="eastAsia"/>
          <w:color w:val="auto"/>
          <w:sz w:val="44"/>
          <w:szCs w:val="44"/>
        </w:rPr>
        <w:t>桂林学院2024年</w:t>
      </w:r>
      <w:r>
        <w:rPr>
          <w:rFonts w:ascii="宋体" w:cs="宋体" w:eastAsia="宋体" w:hAnsi="宋体" w:hint="eastAsia"/>
          <w:color w:val="auto"/>
          <w:sz w:val="44"/>
          <w:szCs w:val="44"/>
          <w:lang w:val="en-US" w:eastAsia="zh-CN"/>
        </w:rPr>
        <w:t>春季</w:t>
      </w:r>
      <w:r>
        <w:rPr>
          <w:rFonts w:ascii="黑体" w:cs="黑体" w:eastAsia="黑体" w:hAnsi="黑体" w:hint="eastAsia"/>
          <w:b w:val="false"/>
          <w:bCs w:val="false"/>
          <w:color w:val="auto"/>
          <w:sz w:val="44"/>
          <w:szCs w:val="44"/>
          <w:u w:val="single"/>
        </w:rPr>
        <w:t>专职教师</w:t>
      </w:r>
      <w:r>
        <w:rPr>
          <w:rFonts w:ascii="宋体" w:cs="宋体" w:eastAsia="宋体" w:hAnsi="宋体" w:hint="eastAsia"/>
          <w:color w:val="auto"/>
          <w:sz w:val="44"/>
          <w:szCs w:val="44"/>
        </w:rPr>
        <w:t>招聘计划信息表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jc w:val="center"/>
        <w:textAlignment w:val="auto"/>
        <w:rPr>
          <w:rFonts w:ascii="宋体" w:cs="宋体" w:eastAsia="宋体" w:hAnsi="宋体" w:hint="eastAsia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ascii="宋体" w:cs="宋体" w:eastAsia="宋体" w:hAnsi="宋体" w:hint="eastAsia"/>
          <w:b/>
          <w:bCs/>
          <w:color w:val="auto"/>
          <w:sz w:val="28"/>
          <w:szCs w:val="28"/>
          <w:u w:val="none"/>
          <w:lang w:eastAsia="zh-CN"/>
        </w:rPr>
        <w:t>（</w:t>
      </w:r>
      <w:r>
        <w:rPr>
          <w:rFonts w:ascii="宋体" w:cs="宋体" w:eastAsia="宋体" w:hAnsi="宋体" w:hint="eastAsia"/>
          <w:b/>
          <w:bCs/>
          <w:color w:val="auto"/>
          <w:sz w:val="28"/>
          <w:szCs w:val="28"/>
          <w:u w:val="none"/>
          <w:lang w:val="en-US" w:eastAsia="zh-CN"/>
        </w:rPr>
        <w:t>长期招聘</w:t>
      </w:r>
      <w:r>
        <w:rPr>
          <w:rFonts w:ascii="宋体" w:cs="宋体" w:eastAsia="宋体" w:hAnsi="宋体" w:hint="eastAsia"/>
          <w:b/>
          <w:bCs/>
          <w:color w:val="auto"/>
          <w:sz w:val="28"/>
          <w:szCs w:val="28"/>
          <w:u w:val="none"/>
          <w:lang w:eastAsia="zh-CN"/>
        </w:rPr>
        <w:t>“</w:t>
      </w:r>
      <w:r>
        <w:rPr>
          <w:rFonts w:ascii="宋体" w:cs="宋体" w:eastAsia="宋体" w:hAnsi="宋体" w:hint="eastAsia"/>
          <w:b/>
          <w:bCs/>
          <w:color w:val="auto"/>
          <w:sz w:val="28"/>
          <w:szCs w:val="28"/>
          <w:u w:val="none"/>
          <w:lang w:val="en-US" w:eastAsia="zh-CN"/>
        </w:rPr>
        <w:t>至善”高层次人才，数量不限，可“一事一议”</w:t>
      </w:r>
      <w:r>
        <w:rPr>
          <w:rFonts w:ascii="宋体" w:cs="宋体" w:eastAsia="宋体" w:hAnsi="宋体" w:hint="eastAsia"/>
          <w:b/>
          <w:bCs/>
          <w:color w:val="auto"/>
          <w:sz w:val="28"/>
          <w:szCs w:val="28"/>
          <w:u w:val="none"/>
          <w:lang w:eastAsia="zh-CN"/>
        </w:rPr>
        <w:t>）</w:t>
      </w:r>
    </w:p>
    <w:tbl>
      <w:tblPr>
        <w:tblStyle w:val="style154"/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28"/>
        <w:gridCol w:w="1170"/>
        <w:gridCol w:w="632"/>
        <w:gridCol w:w="2024"/>
        <w:gridCol w:w="2024"/>
        <w:gridCol w:w="2024"/>
        <w:gridCol w:w="2024"/>
        <w:gridCol w:w="2027"/>
        <w:gridCol w:w="520"/>
      </w:tblGrid>
      <w:tr>
        <w:trPr>
          <w:trHeight w:val="90" w:hRule="atLeast"/>
          <w:jc w:val="center"/>
        </w:trPr>
        <w:tc>
          <w:tcPr>
            <w:tcW w:w="1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18"/>
                <w:sz w:val="18"/>
                <w:szCs w:val="18"/>
              </w:rPr>
              <w:t>岗位</w:t>
            </w:r>
            <w:r>
              <w:rPr>
                <w:rFonts w:ascii="宋体" w:cs="宋体" w:eastAsia="宋体" w:hAnsi="宋体" w:hint="eastAsia"/>
                <w:b/>
                <w:bCs/>
                <w:color w:val="auto"/>
                <w:kern w:val="18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任职资格与条件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学历学位／职称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学科</w:t>
            </w: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学科范围）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auto"/>
              <w:rPr>
                <w:rFonts w:ascii="宋体" w:cs="宋体" w:eastAsia="宋体" w:hAnsi="宋体" w:hint="default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工作技能能力</w:t>
            </w: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及其他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承担课程（至少3门）</w:t>
            </w: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left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  <w:t>人文学院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英语、商务英语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专业及大学英语课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GYZ2024001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职称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外国语言文学（英国语言文学）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有高校教师资格证者优先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大学英语（读写译）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大学英语（视听说）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综合英语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汉英翻译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联系地址：至善楼一区103办公室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联系人：秦老师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联系电话：18877320381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mail：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loveyuyan2019@sina.com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GYZ2024002</w:t>
            </w:r>
          </w:p>
        </w:tc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  <w:t>汉语言文学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val="en-US" w:eastAsia="zh-CN"/>
              </w:rPr>
              <w:t>汉语国际教育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GYZ2024003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中国语言文学（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  <w:t>汉语言文字学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u w:val="single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u w:val="none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古代汉语、汉语史、文字学</w:t>
            </w: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598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GYZ2024004</w:t>
            </w:r>
          </w:p>
        </w:tc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博士优先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教育学（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课程与教学论〔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语文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〕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有中学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语文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经历者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优先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语文课程与教学论</w:t>
            </w: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英语外籍专职教师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大学本科以上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母语须为英语；公安机关开具无犯罪记录证明；相关工作经验或具备教师资格证；身心健康，通过海关的健康体检。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英语口语、商务英语口语、跨文化交际、英语国家概况、中外礼仪、国际商务谈判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联系地址：至善楼8106办公室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联系人：周老师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联系电话：0773-3698322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E-mail：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glxyfzyzlpgc2023@163.com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越南语外籍专职教师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大学本科以上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母语须为越南语；公安机关开具无犯罪记录证明；相关工作经验或具备教师资格证；身心健康，通过海关的健康体检。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越南语口语、越南语口译、基础越南语、旅游越南语、经贸越南语、越南语表达与演讲</w:t>
            </w: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  <w:t>6人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  <w:t>教育学院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  <w:t>舞蹈学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val="en-US" w:eastAsia="zh-CN"/>
              </w:rPr>
              <w:t>公共艺术课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艺术学（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  <w:t>舞蹈学〔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舞蹈表演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  <w:t>〕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专业艺术院校毕业者优先。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舞蹈理论课程、中国民族民间舞、广西民族民间舞、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嘉善楼6241办公室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联系人：黄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联系电话：0779-3696239，13481388850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mail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: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glxyjyxy@163.com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18"/>
                <w:sz w:val="18"/>
                <w:szCs w:val="18"/>
              </w:rPr>
              <w:t>小计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1人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理工学院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大学数学课专职教师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GYZ2024008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数学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有数学建模竞赛指导经验者优先。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数学分析、高等代数、数学建模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联系地址：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至善楼二区2112办公室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联系人：刘老师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联系电话：13481373360</w:t>
            </w:r>
          </w:p>
          <w:p>
            <w:pPr>
              <w:pStyle w:val="style0"/>
              <w:keepNext w:val="false"/>
              <w:keepLines w:val="false"/>
              <w:pageBreakBefore w:val="false"/>
              <w:pBdr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E-mail：glxylgxy@sina.com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GYZ2024009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GYZ2024010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软件工程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大学计算机课专职教师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GYZ2024011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软件工程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资深行业人员优先且可适当放宽学历学位及学科专业要求。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软件工程导论、软件设计及体系结构、软件工程经济学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GYZ2024012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GYZ2024013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</w:tr>
      <w:tr>
        <w:tblPrEx/>
        <w:trPr>
          <w:trHeight w:val="385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计算机科学与技术、大学计算机课专职教师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GYZ2024014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操作系统、云计算、虚拟化技术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</w:p>
        </w:tc>
      </w:tr>
      <w:tr>
        <w:tblPrEx/>
        <w:trPr>
          <w:trHeight w:val="385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GYZ2024015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数据科学与大数据技术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大学计算机课专职教师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GYZ2024016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计算机科学与技术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软件工程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实时计算与流式计算</w:t>
            </w: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大数据原理与技术</w:t>
            </w: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操作系统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GYZ2024017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GYZ2024018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物联网工程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大学计算机课专职教师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GYZ2024019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计算机科学与技术／软件工程／电子科学与技术／信息与通信工程／控制科学与工程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  <w:t>操作系统、计算机网络、组成原理、嵌入式开发与设计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auto" w:line="240"/>
              <w:ind w:left="0" w:right="0"/>
              <w:jc w:val="left"/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GYZ2024020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385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电子信息工程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大学计算机课专职教师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GYZ2024021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电子科学与技术／信息与通信工程／控制科学与工程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资深行业人员优先且可适当放宽学科专业及学历学位要求；有电子类竞赛指导经验者优先。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数字信号处理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DSP原理与应用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数字图像处理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GYZ2024022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GYZ2024023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智能测控工程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大学计算机课专职教师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GYZ2024024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电子科学与技术／信息与通信工程／控制科学与工程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pBdr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电子设计大赛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测控系统原理及应用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嵌入式系统设计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GYZ2024025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医学信息工程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大学计算机课专职教师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GYZ2024026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生物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医学工程（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生物医学信息工程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计算机科学与技术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软件工程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电子科学与技术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信息与通信工程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控制科学与工程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嵌入式系统原理及应用、医学信息系统、</w:t>
            </w: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</w:rPr>
              <w:t>生物医学信号分析与处理</w:t>
            </w: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i w:val="false"/>
                <w:color w:val="auto"/>
                <w:sz w:val="18"/>
                <w:szCs w:val="18"/>
                <w:u w:val="none"/>
              </w:rPr>
              <w:t>医疗物联网技术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GYZ2024027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598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GYZ2024028</w:t>
            </w:r>
          </w:p>
        </w:tc>
        <w:tc>
          <w:tcPr>
            <w:tcW w:w="632" w:type="dxa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  <w:t>21人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restart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传媒与新闻学院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播音与主持艺术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专业及公共艺术课</w:t>
            </w: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GYZ2024029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新闻传播学（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广播电视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与融媒体）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具备一定的科研能力，符合“至善”高层次人才聘用条件者优先。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播音主持语音与发声、文艺作品演播、新闻节目播音主持、影视配音</w:t>
            </w:r>
          </w:p>
        </w:tc>
        <w:tc>
          <w:tcPr>
            <w:tcW w:w="20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联系地址：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传媒与新闻学院121办公室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联系人：赵老师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联系电话：0773-3600078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E-mail：glxycmyxw@126.com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数字媒体技术专职教师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GYZ2024030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计算机科学与技术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／新闻传播学（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智能传播）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具备程序编程、游戏开发设计、三维建模、影视制作等能力，资深行业人员优先且可适当放宽学历学位及学科专业要求。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数字媒体技术概论、程序设计、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数据库原理与应用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游戏引擎应用与开发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游戏架构设计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三维建模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基础、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三维高级建模、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动画设计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GYZ2024031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GYZ2024032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0" w:hRule="auto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数字出版专职教师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GYZ2024033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出版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信息资源管理（出版管理）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有出版从业经历者优先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  <w:t>5人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restart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  <w:t>城市设计学院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环境设计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val="en-US" w:eastAsia="zh-CN"/>
              </w:rPr>
              <w:t>公共艺术课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GYZ2024034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设计学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环境设计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地方优秀高校毕业者本、硕专业应一致。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展示设计、陈设设计、办公空间设计</w:t>
            </w:r>
          </w:p>
        </w:tc>
        <w:tc>
          <w:tcPr>
            <w:tcW w:w="20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嘉善楼艺术工厂304办公室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联系人：海老师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lang w:val="en-US"/>
              </w:rPr>
              <w:t>15994674439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E-mail：glxydesign@163.com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数字媒体艺术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val="en-US" w:eastAsia="zh-CN"/>
              </w:rPr>
              <w:t>公共艺术课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GYZ2024035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设计学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视觉传达与媒体设计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地方优秀高校毕业者本、硕专业应一致。有作品获省级二等奖以上者优先。擅长AE或其它视频、动画后期包装、特效软件，有一年以上工作经验、发表核心论文、参与省级以上课题组者优先。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影视后期合成与特效、AE、视听语言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1162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GYZ2024036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  <w:t>视觉传达设计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  <w:lang w:val="en-US" w:eastAsia="zh-CN"/>
              </w:rPr>
              <w:t>公共艺术课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GYZ2024037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设计学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视觉传达与媒体设计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地方优秀高校毕业者本、硕专业应一致。有作品获国家级二等奖以上者优先。有一年以上工作经验、发表核心论文、参与省级以上课题组者优先。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AI、</w:t>
            </w:r>
            <w:r>
              <w:rPr>
                <w:rFonts w:ascii="宋体" w:cs="宋体" w:eastAsia="宋体" w:hAnsi="宋体" w:hint="eastAsia"/>
                <w:snapToGrid w:val="false"/>
                <w:color w:val="auto"/>
                <w:kern w:val="0"/>
                <w:sz w:val="18"/>
                <w:szCs w:val="18"/>
              </w:rPr>
              <w:t>书籍设计与印刷、版式设计、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AE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城乡规划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  <w:t>工程造价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GYZ2024038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城乡规划学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城乡规划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建筑学（建筑设计及其理论、城市设计及理论）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建筑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管理科学与工程（工程管理）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工程管理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有行业从业经历者优先。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工程力学，结构力学，安装工程识图与施工，安装工程计量与计价，市政园林工程施工技术，市政园林工程计量与计价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GYZ2024039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60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GYZ2024040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60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color w:val="auto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GYZ2024041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18"/>
                <w:sz w:val="18"/>
                <w:szCs w:val="18"/>
              </w:rPr>
              <w:t>小计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restart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金融与法律学院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经济学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专业专职课教师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GYZ2024042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应用经济学（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区域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与城市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经济学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区域经济学、统计学、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国际经济学</w:t>
            </w:r>
          </w:p>
        </w:tc>
        <w:tc>
          <w:tcPr>
            <w:tcW w:w="20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联系地址：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至善楼三区3204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办公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联系人：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颜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联系电话：0773-3696326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E-mail：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glxyjfxy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@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163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GYZ2024043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应用经济学（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数字经济学、计量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  <w:t>经济学、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产业经济学）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计量经济学、SPSS应用、当代中国经济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451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法学专业专职教师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法学（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国际公法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、国际私法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、国际经济法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学）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参加过杰赛普（Jessup）国际公法模拟法庭竞赛、贸仲杯（Vis moot）国际商事仲裁竞赛、中国WTO模拟法庭竞赛、国际刑事（ICC)模拟法庭竞赛、贸仲杯国际投资仲裁赛等比赛者优先。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国际投资法、国际贸易法、国际商事仲裁理论与实践、海商法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18"/>
                <w:sz w:val="18"/>
                <w:szCs w:val="18"/>
              </w:rPr>
              <w:t>小计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restart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  <w:t>管理工程学院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工商管理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GYZ2024045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工商管理学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企业管理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工商管理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具有较强的科研能力，能够带领团队申请省部级以上项目。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  <w:t>供应链与物流管理、资产评估基础、企业战略 管理</w:t>
            </w:r>
          </w:p>
        </w:tc>
        <w:tc>
          <w:tcPr>
            <w:tcW w:w="20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  <w:t>联系地址：至善楼三区 3303 办公室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  <w:t>联系人：熊老师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  <w:t>联系电话： 0773-3696011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  <w:t>E-mail：glxygl2023@163.com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财务管理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GYZ2024046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工商管理学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）／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有计算机专业背景、财务行业工作经历者优先；资深行业人员优先。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  <w:t>大数据技术基础、财务共享规划与设计、高级财务管理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会计学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  <w:lang w:val="en-US" w:eastAsia="zh-CN"/>
              </w:rPr>
              <w:t>GYZ2024047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工商管理学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会计学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）／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有计算机专业背景、财务行业工作经历者优先；资深行业人员优先。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  <w:t>大数据导论、python数据分析、高级财务会计、管理会计、财务大数据可视化分析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审计学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GYZ2024048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工商管理学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）／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审计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有计算机专业背景优先；有审计行业工作经历者优先；资深行业人员优先。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  <w:t>审计技术与方法、经济责任审计、计算机审计、大数据智能审计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电子商务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GYZ2024049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管理科学与工程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电子商务、市场营销学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具有电子商务行业工作经历者优先；具有计算机专业背景者优先。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  <w:t>电子商务组织与运营、电子商务系统分析与设计、视觉营销、大数据基础导论、数据分析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7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18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旅游管理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类专业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GYZ2024050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工商管理学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旅游管理</w:t>
            </w: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  <w:t>会展场馆经营与管理、平面设计基础、旅游电子商务、旅游经济学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598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物流工程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GYZ2024051</w:t>
            </w:r>
          </w:p>
        </w:tc>
        <w:tc>
          <w:tcPr>
            <w:tcW w:w="632" w:type="dxa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或中级以上职称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管理科学与工程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物流与交通管理、运营与供应链管理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具有工学教育背景优先；有物流行业从业经历者优先。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  <w:t>仓储与库存控制、供应链管理、物流系统规划与设计、物流信息技术、物流项目管理、 物流系统仿真、冷链物流设计与实施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18"/>
                <w:sz w:val="18"/>
                <w:szCs w:val="18"/>
              </w:rPr>
              <w:t>小计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</w:rPr>
              <w:t>7人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restart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体育与健康学院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体育教育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GYZ2024052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化学（物理化学、化学生物学）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体育心理学、运动生理学、健康教育学</w:t>
            </w:r>
          </w:p>
        </w:tc>
        <w:tc>
          <w:tcPr>
            <w:tcW w:w="20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联系地址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彰善楼4215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联系人：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欧老师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15577331216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mail：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tyx0773@163.com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775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体育教育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公共体育课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GYZ2024053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default"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体育学（民族传统体育学）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体育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（民族传统体育方向）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少数民族传统项目（舞龙舞狮）优先；可承担少数民族传统体育项目2-3项教学及运动队训练。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775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color w:val="auto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GYZ2024054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GYZ2024055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体育学（体育教育训练学）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  <w:t>篮球、田径、排球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2161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专业及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公共体育课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GYZ2024056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体育学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体育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能胜任体育赛事组织与管理、体育俱乐部经营与管理、体育产业管理及运营等相关课程；有体育管理及体育产业管理及运营工作经验者优先；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体育赛事组织与管理、体育俱乐部经营与管理、体育产业管理及运营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运动康复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GYZ2024057</w:t>
            </w:r>
          </w:p>
        </w:tc>
        <w:tc>
          <w:tcPr>
            <w:tcW w:w="63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体育学（运动人体科学）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专业实践操作能力强并具有行业工作经历者优先。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复治疗技术、孕产康复、体态矫正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463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GYZ2024058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中医学（针灸学、推拿学）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生物医学工程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康复医学工程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专业实践操作能力强，具有相关工作经历或者行业资格者优先。</w:t>
            </w:r>
          </w:p>
        </w:tc>
        <w:tc>
          <w:tcPr>
            <w:tcW w:w="202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推拿、针灸学、中医基础理论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463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color w:val="auto"/>
              </w:rPr>
            </w:pPr>
          </w:p>
        </w:tc>
        <w:tc>
          <w:tcPr>
            <w:tcW w:w="1528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GYZ2024059</w:t>
            </w:r>
          </w:p>
        </w:tc>
        <w:tc>
          <w:tcPr>
            <w:tcW w:w="63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健康服务与管理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专职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b w:val="false"/>
                <w:bCs w:val="false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GYZ2024060</w:t>
            </w:r>
          </w:p>
        </w:tc>
        <w:tc>
          <w:tcPr>
            <w:tcW w:w="632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管理科学与工程（医疗与健康管理、服务科学与管理）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公共管理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卫生事业管理学、社会保障概论、管理学原理、卫生政策学</w:t>
            </w:r>
          </w:p>
        </w:tc>
        <w:tc>
          <w:tcPr>
            <w:tcW w:w="2027" w:type="dxa"/>
            <w:vMerge w:val="continue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bidi="ar-SA" w:eastAsia="zh-CN"/>
              </w:rPr>
              <w:t>9人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396" w:hRule="atLeast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马克思主义学院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“四史”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马克思主义理论</w:t>
            </w:r>
            <w:r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／中共党史党建学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至善楼205办公室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联系人：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刘老师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0773-3691196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mail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center"/>
              <w:contextualSpacing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mkszyxy201812@163.com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思想道德与法治课专职教师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GYZ2024060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马克思主义理论</w:t>
            </w:r>
          </w:p>
        </w:tc>
        <w:tc>
          <w:tcPr>
            <w:tcW w:w="2024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  <w:bookmarkStart w:id="0" w:name="_GoBack"/>
          <w:bookmarkEnd w:id="0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GYZ2024061</w:t>
            </w:r>
          </w:p>
        </w:tc>
        <w:tc>
          <w:tcPr>
            <w:tcW w:w="63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马克思主义基本原理课专职教师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GYZ2024062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马克思主义理论</w:t>
            </w:r>
          </w:p>
        </w:tc>
        <w:tc>
          <w:tcPr>
            <w:tcW w:w="2024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18"/>
                <w:szCs w:val="18"/>
                <w:lang w:val="en-US" w:eastAsia="zh-CN"/>
              </w:rPr>
              <w:t>GYZ2024063</w:t>
            </w:r>
          </w:p>
        </w:tc>
        <w:tc>
          <w:tcPr>
            <w:tcW w:w="63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auto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  <w:t>5人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kern w:val="2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bidi="ar-SA" w:eastAsia="zh-CN"/>
              </w:rPr>
              <w:t>65人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left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contextualSpacing/>
              <w:rPr>
                <w:rFonts w:ascii="宋体" w:cs="宋体" w:eastAsia="宋体" w:hAnsi="宋体" w:hint="eastAsia"/>
                <w:color w:val="auto"/>
                <w:sz w:val="18"/>
                <w:szCs w:val="18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宋体" w:cs="Times New Roman" w:eastAsia="宋体" w:hAnsi="宋体" w:hint="default"/>
          <w:color w:val="auto"/>
          <w:kern w:val="0"/>
          <w:sz w:val="18"/>
          <w:szCs w:val="18"/>
          <w:lang w:val="en-US" w:eastAsia="zh-CN"/>
        </w:rPr>
      </w:pPr>
      <w:r>
        <w:rPr>
          <w:rFonts w:ascii="宋体" w:cs="Times New Roman" w:eastAsia="宋体" w:hAnsi="宋体" w:hint="eastAsia"/>
          <w:color w:val="auto"/>
          <w:kern w:val="0"/>
          <w:sz w:val="18"/>
          <w:szCs w:val="18"/>
          <w:lang w:val="en-US" w:eastAsia="zh-CN"/>
        </w:rPr>
        <w:t>注：“学科专业”以中国学位与研究生教育学会最新发布的《研究生教育学科专业简介及其学位基本要求(试行版)》为准。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C96E776"/>
    <w:lvl w:ilvl="0">
      <w:start w:val="5"/>
      <w:numFmt w:val="upperLetter"/>
      <w:suff w:val="nothing"/>
      <w:lvlText w:val="%1-"/>
      <w:lvlJc w:val="left"/>
      <w:pPr/>
    </w:lvl>
  </w:abstractNum>
  <w:abstractNum w:abstractNumId="1">
    <w:nsid w:val="00000001"/>
    <w:multiLevelType w:val="singleLevel"/>
    <w:tmpl w:val="965A6DDA"/>
    <w:lvl w:ilvl="0">
      <w:start w:val="5"/>
      <w:numFmt w:val="upperLetter"/>
      <w:suff w:val="nothing"/>
      <w:lvlText w:val="%1-"/>
      <w:lvlJc w:val="left"/>
      <w:pPr/>
    </w:lvl>
  </w:abstractNum>
  <w:abstractNum w:abstractNumId="2">
    <w:nsid w:val="00000002"/>
    <w:multiLevelType w:val="singleLevel"/>
    <w:tmpl w:val="D40D725F"/>
    <w:lvl w:ilvl="0">
      <w:start w:val="5"/>
      <w:numFmt w:val="upperLetter"/>
      <w:suff w:val="nothing"/>
      <w:lvlText w:val="%1-"/>
      <w:lvlJc w:val="left"/>
      <w:pPr/>
    </w:lvl>
  </w:abstractNum>
  <w:abstractNum w:abstractNumId="3">
    <w:nsid w:val="00000003"/>
    <w:multiLevelType w:val="singleLevel"/>
    <w:tmpl w:val="EE4640D1"/>
    <w:lvl w:ilvl="0">
      <w:start w:val="5"/>
      <w:numFmt w:val="upperLetter"/>
      <w:suff w:val="nothing"/>
      <w:lvlText w:val="%1-"/>
      <w:lvlJc w:val="left"/>
      <w:p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after="260" w:lineRule="auto" w:line="413"/>
      <w:outlineLvl w:val="1"/>
    </w:pPr>
    <w:rPr>
      <w:rFonts w:ascii="Arial" w:eastAsia="黑体" w:hAnsi="Arial"/>
      <w:b/>
      <w:sz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>
      <w:spacing w:after="120"/>
    </w:pPr>
    <w:rPr/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/>
    <w:rPr>
      <w:sz w:val="24"/>
    </w:rPr>
  </w:style>
  <w:style w:type="paragraph" w:styleId="style77">
    <w:name w:val="Body Text First Indent"/>
    <w:basedOn w:val="style66"/>
    <w:next w:val="style0"/>
    <w:qFormat/>
    <w:uiPriority w:val="0"/>
    <w:pPr>
      <w:ind w:firstLine="640" w:firstLineChars="200"/>
    </w:pPr>
    <w:rPr/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customStyle="1" w:styleId="style4097">
    <w:name w:val="标题 1 字符"/>
    <w:basedOn w:val="style65"/>
    <w:next w:val="style4097"/>
    <w:link w:val="style1"/>
    <w:qFormat/>
    <w:uiPriority w:val="9"/>
    <w:rPr>
      <w:b/>
      <w:bCs/>
      <w:kern w:val="44"/>
      <w:sz w:val="44"/>
      <w:szCs w:val="44"/>
    </w:rPr>
  </w:style>
  <w:style w:type="character" w:customStyle="1" w:styleId="style4098">
    <w:name w:val="页眉 字符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qFormat/>
    <w:uiPriority w:val="99"/>
    <w:rPr>
      <w:sz w:val="18"/>
      <w:szCs w:val="18"/>
    </w:rPr>
  </w:style>
  <w:style w:type="character" w:customStyle="1" w:styleId="style4100">
    <w:name w:val="font31"/>
    <w:basedOn w:val="style65"/>
    <w:next w:val="style4100"/>
    <w:qFormat/>
    <w:uiPriority w:val="0"/>
    <w:rPr>
      <w:rFonts w:ascii="宋体" w:cs="宋体" w:eastAsia="宋体" w:hAnsi="宋体" w:hint="eastAsia"/>
      <w:b/>
      <w:bCs/>
      <w:color w:val="7030a0"/>
      <w:sz w:val="18"/>
      <w:szCs w:val="18"/>
      <w:u w:val="single"/>
    </w:rPr>
  </w:style>
  <w:style w:type="character" w:customStyle="1" w:styleId="style4101">
    <w:name w:val="font11"/>
    <w:basedOn w:val="style65"/>
    <w:next w:val="style4101"/>
    <w:qFormat/>
    <w:uiPriority w:val="0"/>
    <w:rPr>
      <w:rFonts w:ascii="宋体" w:cs="宋体" w:eastAsia="宋体" w:hAnsi="宋体" w:hint="eastAsia"/>
      <w:color w:val="000000"/>
      <w:sz w:val="18"/>
      <w:szCs w:val="1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4439</Words>
  <Pages>1</Pages>
  <Characters>5419</Characters>
  <Application>WPS Office</Application>
  <DocSecurity>0</DocSecurity>
  <Paragraphs>876</Paragraphs>
  <ScaleCrop>false</ScaleCrop>
  <LinksUpToDate>false</LinksUpToDate>
  <CharactersWithSpaces>5426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2021-06-28T00:41:00Z</dcterms:created>
  <dc:creator>ljxy ljxy</dc:creator>
  <lastModifiedBy>XQ-DQ72</lastModifiedBy>
  <dcterms:modified xsi:type="dcterms:W3CDTF">2024-02-25T06:07:07Z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20555E00152140B88D7B68300A970F83_13</vt:lpwstr>
  </property>
</Properties>
</file>