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附加项计分统计表</w:t>
      </w:r>
    </w:p>
    <w:bookmarkEnd w:id="0"/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                          单位：</w:t>
      </w:r>
    </w:p>
    <w:tbl>
      <w:tblPr>
        <w:tblStyle w:val="2"/>
        <w:tblpPr w:leftFromText="180" w:rightFromText="180" w:vertAnchor="text" w:horzAnchor="page" w:tblpX="1440" w:tblpY="28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3"/>
        <w:gridCol w:w="1545"/>
        <w:gridCol w:w="860"/>
        <w:gridCol w:w="860"/>
        <w:gridCol w:w="1810"/>
        <w:gridCol w:w="17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附加分项目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分值权重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一、教学效果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2019-2022学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以来所教学科第二学期人均分达县人均的每年加1分，总分3分。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2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2019年9月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辅导报考学科学生竞赛及培养学生特长获奖（须教育主管部门组织有效，同一奖项以最高获奖计分）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（优秀奖）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州级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2019年9月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优质课竞赛（含技能）（须教育主管部门组织并与报考学科相关，同一奖项以最高获奖计分）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（优秀奖）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州级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2019年9月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各级政府表彰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县级1分，州级2分，省级3分，国家级4分。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五、年度考核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近三年（201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、20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、20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）年度考核获得优秀等次，每次加0.5分，总分1.5分。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7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  <w:t>总    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8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注：同一奖项以最高奖计分，不得重复计分。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GY1Y2Y3ODM0YjA3YmY1Njc4YTI1YzFjYWVhMzEifQ=="/>
  </w:docVars>
  <w:rsids>
    <w:rsidRoot w:val="00000000"/>
    <w:rsid w:val="70E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2022-08-15T04:37:36Z</dcterms:created>
  <dc:creator>Administrator</dc:creator>
  <cp:lastModifiedBy>心雨心愿</cp:lastModifiedBy>
  <dcterms:modified xsi:type="dcterms:W3CDTF">2022-08-15T04:37:46Z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B0149EA16CD74969A77CE883EABF5ED8</vt:lpwstr>
  </property>
</Properties>
</file>