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rPr>
      </w:pPr>
      <w:r>
        <w:rPr>
          <w:rFonts w:hint="eastAsia" w:ascii="方正小标宋简体" w:hAnsi="方正小标宋简体" w:eastAsia="方正小标宋简体" w:cs="方正小标宋简体"/>
          <w:i w:val="0"/>
          <w:iCs w:val="0"/>
          <w:caps w:val="0"/>
          <w:color w:val="auto"/>
          <w:spacing w:val="8"/>
          <w:sz w:val="44"/>
          <w:szCs w:val="44"/>
          <w:shd w:val="clear" w:fill="FFFFFF"/>
        </w:rPr>
        <w:t>华</w:t>
      </w:r>
      <w:r>
        <w:rPr>
          <w:rFonts w:hint="eastAsia" w:ascii="方正小标宋简体" w:hAnsi="方正小标宋简体" w:eastAsia="方正小标宋简体" w:cs="方正小标宋简体"/>
          <w:i w:val="0"/>
          <w:iCs w:val="0"/>
          <w:caps w:val="0"/>
          <w:color w:val="auto"/>
          <w:spacing w:val="8"/>
          <w:sz w:val="44"/>
          <w:szCs w:val="44"/>
          <w:shd w:val="clear" w:fill="FFFFFF"/>
          <w:lang w:val="en-US" w:eastAsia="zh-CN"/>
        </w:rPr>
        <w:t>阴市面向市域外</w:t>
      </w:r>
      <w:r>
        <w:rPr>
          <w:rFonts w:hint="eastAsia" w:ascii="方正小标宋简体" w:hAnsi="方正小标宋简体" w:eastAsia="方正小标宋简体" w:cs="方正小标宋简体"/>
          <w:i w:val="0"/>
          <w:iCs w:val="0"/>
          <w:caps w:val="0"/>
          <w:color w:val="auto"/>
          <w:spacing w:val="8"/>
          <w:sz w:val="44"/>
          <w:szCs w:val="44"/>
          <w:shd w:val="clear" w:fill="FFFFFF"/>
        </w:rPr>
        <w:t>公开选调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rPr>
      </w:pPr>
      <w:r>
        <w:rPr>
          <w:rFonts w:hint="eastAsia" w:ascii="方正小标宋简体" w:hAnsi="方正小标宋简体" w:eastAsia="方正小标宋简体" w:cs="方正小标宋简体"/>
          <w:i w:val="0"/>
          <w:iCs w:val="0"/>
          <w:caps w:val="0"/>
          <w:color w:val="auto"/>
          <w:spacing w:val="8"/>
          <w:sz w:val="44"/>
          <w:szCs w:val="44"/>
          <w:shd w:val="clear" w:fill="FFFFFF"/>
        </w:rPr>
        <w:t>优秀教师的公告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为进一步</w:t>
      </w:r>
      <w:r>
        <w:rPr>
          <w:rFonts w:hint="eastAsia" w:ascii="仿宋_GB2312" w:eastAsia="仿宋_GB2312"/>
          <w:color w:val="auto"/>
          <w:sz w:val="32"/>
          <w:szCs w:val="32"/>
          <w:lang w:val="en-US" w:eastAsia="zh-CN"/>
        </w:rPr>
        <w:t>加大优秀教育人才引进力度，助推</w:t>
      </w:r>
      <w:r>
        <w:rPr>
          <w:rFonts w:hint="eastAsia" w:ascii="仿宋_GB2312" w:eastAsia="仿宋_GB2312"/>
          <w:color w:val="auto"/>
          <w:sz w:val="32"/>
          <w:szCs w:val="32"/>
        </w:rPr>
        <w:t>我</w:t>
      </w:r>
      <w:r>
        <w:rPr>
          <w:rFonts w:hint="eastAsia" w:ascii="仿宋_GB2312" w:eastAsia="仿宋_GB2312"/>
          <w:color w:val="auto"/>
          <w:sz w:val="32"/>
          <w:szCs w:val="32"/>
          <w:lang w:eastAsia="zh-CN"/>
        </w:rPr>
        <w:t>市</w:t>
      </w:r>
      <w:r>
        <w:rPr>
          <w:rFonts w:hint="eastAsia" w:ascii="仿宋_GB2312" w:eastAsia="仿宋_GB2312"/>
          <w:color w:val="auto"/>
          <w:sz w:val="32"/>
          <w:szCs w:val="32"/>
        </w:rPr>
        <w:t>教育事业发展和教育质量的稳步提升，经</w:t>
      </w:r>
      <w:r>
        <w:rPr>
          <w:rFonts w:hint="eastAsia" w:ascii="仿宋_GB2312" w:eastAsia="仿宋_GB2312"/>
          <w:color w:val="auto"/>
          <w:sz w:val="32"/>
          <w:szCs w:val="32"/>
          <w:lang w:val="en-US" w:eastAsia="zh-CN"/>
        </w:rPr>
        <w:t>市委、市政府</w:t>
      </w:r>
      <w:r>
        <w:rPr>
          <w:rFonts w:hint="eastAsia" w:ascii="仿宋_GB2312" w:eastAsia="仿宋_GB2312"/>
          <w:color w:val="auto"/>
          <w:sz w:val="32"/>
          <w:szCs w:val="32"/>
        </w:rPr>
        <w:t>研究同意，决定面向</w:t>
      </w:r>
      <w:r>
        <w:rPr>
          <w:rFonts w:hint="eastAsia" w:ascii="仿宋_GB2312" w:eastAsia="仿宋_GB2312"/>
          <w:color w:val="auto"/>
          <w:sz w:val="32"/>
          <w:szCs w:val="32"/>
          <w:lang w:val="en-US" w:eastAsia="zh-CN"/>
        </w:rPr>
        <w:t>华阴市</w:t>
      </w:r>
      <w:r>
        <w:rPr>
          <w:rFonts w:hint="eastAsia" w:ascii="仿宋_GB2312" w:eastAsia="仿宋_GB2312"/>
          <w:color w:val="auto"/>
          <w:sz w:val="32"/>
          <w:szCs w:val="32"/>
        </w:rPr>
        <w:t>域外公开选调中小学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幼儿园</w:t>
      </w:r>
      <w:r>
        <w:rPr>
          <w:rFonts w:hint="eastAsia" w:ascii="仿宋_GB2312" w:eastAsia="仿宋_GB2312"/>
          <w:color w:val="auto"/>
          <w:sz w:val="32"/>
          <w:szCs w:val="32"/>
          <w:lang w:eastAsia="zh-CN"/>
        </w:rPr>
        <w:t>）</w:t>
      </w:r>
      <w:r>
        <w:rPr>
          <w:rFonts w:hint="eastAsia" w:ascii="仿宋_GB2312" w:eastAsia="仿宋_GB2312"/>
          <w:color w:val="auto"/>
          <w:sz w:val="32"/>
          <w:szCs w:val="32"/>
        </w:rPr>
        <w:t>优秀教师，现将有关事项公告如下：</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一</w:t>
      </w:r>
      <w:r>
        <w:rPr>
          <w:rFonts w:hint="eastAsia" w:ascii="黑体" w:hAnsi="黑体" w:eastAsia="黑体"/>
          <w:color w:val="auto"/>
          <w:sz w:val="32"/>
          <w:szCs w:val="32"/>
        </w:rPr>
        <w:t>、选调对象</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华</w:t>
      </w:r>
      <w:r>
        <w:rPr>
          <w:rFonts w:hint="eastAsia" w:ascii="仿宋_GB2312" w:eastAsia="仿宋_GB2312"/>
          <w:color w:val="auto"/>
          <w:sz w:val="32"/>
          <w:szCs w:val="32"/>
          <w:lang w:eastAsia="zh-CN"/>
        </w:rPr>
        <w:t>阴市</w:t>
      </w:r>
      <w:r>
        <w:rPr>
          <w:rFonts w:hint="eastAsia" w:ascii="仿宋_GB2312" w:eastAsia="仿宋_GB2312"/>
          <w:color w:val="auto"/>
          <w:sz w:val="32"/>
          <w:szCs w:val="32"/>
          <w:lang w:val="en-US" w:eastAsia="zh-CN"/>
        </w:rPr>
        <w:t>域</w:t>
      </w:r>
      <w:r>
        <w:rPr>
          <w:rFonts w:hint="eastAsia" w:ascii="仿宋_GB2312" w:eastAsia="仿宋_GB2312"/>
          <w:color w:val="auto"/>
          <w:sz w:val="32"/>
          <w:szCs w:val="32"/>
        </w:rPr>
        <w:t>外的事业单位在编在职教师。</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、选调岗位和数量</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（一）选调数量</w:t>
      </w: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公开选调中小学</w:t>
      </w:r>
      <w:r>
        <w:rPr>
          <w:rFonts w:hint="eastAsia" w:ascii="仿宋_GB2312" w:eastAsia="仿宋_GB2312"/>
          <w:color w:val="auto"/>
          <w:sz w:val="32"/>
          <w:szCs w:val="32"/>
          <w:lang w:eastAsia="zh-CN"/>
        </w:rPr>
        <w:t>幼儿园</w:t>
      </w:r>
      <w:r>
        <w:rPr>
          <w:rFonts w:hint="eastAsia" w:ascii="仿宋_GB2312" w:eastAsia="仿宋_GB2312"/>
          <w:color w:val="auto"/>
          <w:sz w:val="32"/>
          <w:szCs w:val="32"/>
        </w:rPr>
        <w:t>教师共</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名。</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（二）选调岗位</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具体选调岗位及数量，待报名结束后，按照学科需求和报名情况确定。</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、选调条件</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遵纪守法，品行端正，师德优良，热爱教育事业。</w:t>
      </w:r>
      <w:r>
        <w:rPr>
          <w:rFonts w:hint="eastAsia" w:ascii="仿宋_GB2312" w:eastAsia="仿宋_GB2312"/>
          <w:color w:val="auto"/>
          <w:sz w:val="32"/>
          <w:szCs w:val="32"/>
          <w:lang w:val="en-US" w:eastAsia="zh-CN"/>
        </w:rPr>
        <w:t>近三年年度考核均为合格及以上等次。</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eastAsia="仿宋_GB2312"/>
          <w:color w:val="auto"/>
          <w:sz w:val="32"/>
          <w:szCs w:val="32"/>
        </w:rPr>
        <w:t>具有选调岗位</w:t>
      </w:r>
      <w:r>
        <w:rPr>
          <w:rFonts w:hint="eastAsia" w:ascii="仿宋_GB2312" w:eastAsia="仿宋_GB2312"/>
          <w:color w:val="auto"/>
          <w:sz w:val="32"/>
          <w:szCs w:val="32"/>
          <w:lang w:eastAsia="zh-CN"/>
        </w:rPr>
        <w:t>所需的</w:t>
      </w:r>
      <w:r>
        <w:rPr>
          <w:rFonts w:hint="eastAsia" w:ascii="仿宋_GB2312" w:eastAsia="仿宋_GB2312"/>
          <w:color w:val="auto"/>
          <w:sz w:val="32"/>
          <w:szCs w:val="32"/>
        </w:rPr>
        <w:t>相应</w:t>
      </w:r>
      <w:r>
        <w:rPr>
          <w:rFonts w:hint="eastAsia" w:ascii="仿宋_GB2312" w:eastAsia="仿宋_GB2312"/>
          <w:color w:val="auto"/>
          <w:sz w:val="32"/>
          <w:szCs w:val="32"/>
          <w:lang w:eastAsia="zh-CN"/>
        </w:rPr>
        <w:t>学历、学位、教师资格证及业务能力。</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w:t>
      </w:r>
      <w:r>
        <w:rPr>
          <w:rFonts w:hint="eastAsia" w:ascii="仿宋_GB2312" w:eastAsia="仿宋_GB2312"/>
          <w:color w:val="auto"/>
          <w:sz w:val="32"/>
          <w:szCs w:val="32"/>
        </w:rPr>
        <w:t>中小学教师年龄</w:t>
      </w:r>
      <w:r>
        <w:rPr>
          <w:rFonts w:hint="eastAsia" w:ascii="仿宋_GB2312" w:eastAsia="仿宋_GB2312"/>
          <w:color w:val="auto"/>
          <w:sz w:val="32"/>
          <w:szCs w:val="32"/>
          <w:lang w:eastAsia="zh-CN"/>
        </w:rPr>
        <w:t>不超过</w:t>
      </w:r>
      <w:r>
        <w:rPr>
          <w:rFonts w:hint="eastAsia" w:ascii="仿宋_GB2312" w:eastAsia="仿宋_GB2312"/>
          <w:color w:val="auto"/>
          <w:sz w:val="32"/>
          <w:szCs w:val="32"/>
        </w:rPr>
        <w:t>4</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周岁（</w:t>
      </w:r>
      <w:r>
        <w:rPr>
          <w:rFonts w:hint="eastAsia" w:ascii="仿宋_GB2312" w:eastAsia="仿宋_GB2312"/>
          <w:color w:val="auto"/>
          <w:sz w:val="32"/>
          <w:szCs w:val="32"/>
          <w:lang w:val="en-US" w:eastAsia="zh-CN"/>
        </w:rPr>
        <w:t>1981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w:t>
      </w:r>
      <w:r>
        <w:rPr>
          <w:rFonts w:hint="eastAsia" w:ascii="仿宋_GB2312" w:eastAsia="仿宋_GB2312"/>
          <w:color w:val="auto"/>
          <w:sz w:val="32"/>
          <w:szCs w:val="32"/>
          <w:lang w:eastAsia="zh-CN"/>
        </w:rPr>
        <w:t>及</w:t>
      </w:r>
      <w:r>
        <w:rPr>
          <w:rFonts w:hint="eastAsia" w:ascii="仿宋_GB2312" w:eastAsia="仿宋_GB2312"/>
          <w:color w:val="auto"/>
          <w:sz w:val="32"/>
          <w:szCs w:val="32"/>
        </w:rPr>
        <w:t>以后出生）,幼儿园教师年龄</w:t>
      </w:r>
      <w:r>
        <w:rPr>
          <w:rFonts w:hint="eastAsia" w:ascii="仿宋_GB2312" w:eastAsia="仿宋_GB2312"/>
          <w:color w:val="auto"/>
          <w:sz w:val="32"/>
          <w:szCs w:val="32"/>
          <w:lang w:eastAsia="zh-CN"/>
        </w:rPr>
        <w:t>不超过</w:t>
      </w:r>
      <w:r>
        <w:rPr>
          <w:rFonts w:hint="eastAsia" w:ascii="仿宋_GB2312" w:eastAsia="仿宋_GB2312"/>
          <w:color w:val="auto"/>
          <w:sz w:val="32"/>
          <w:szCs w:val="32"/>
        </w:rPr>
        <w:t>35周岁（</w:t>
      </w:r>
      <w:r>
        <w:rPr>
          <w:rFonts w:hint="eastAsia" w:ascii="仿宋_GB2312" w:eastAsia="仿宋_GB2312"/>
          <w:color w:val="auto"/>
          <w:sz w:val="32"/>
          <w:szCs w:val="32"/>
          <w:lang w:val="en-US" w:eastAsia="zh-CN"/>
        </w:rPr>
        <w:t>1988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w:t>
      </w:r>
      <w:r>
        <w:rPr>
          <w:rFonts w:hint="eastAsia" w:ascii="仿宋_GB2312" w:eastAsia="仿宋_GB2312"/>
          <w:color w:val="auto"/>
          <w:sz w:val="32"/>
          <w:szCs w:val="32"/>
          <w:lang w:eastAsia="zh-CN"/>
        </w:rPr>
        <w:t>及</w:t>
      </w:r>
      <w:r>
        <w:rPr>
          <w:rFonts w:hint="eastAsia" w:ascii="仿宋_GB2312" w:eastAsia="仿宋_GB2312"/>
          <w:color w:val="auto"/>
          <w:sz w:val="32"/>
          <w:szCs w:val="32"/>
        </w:rPr>
        <w:t>以后出生），身体健康，</w:t>
      </w:r>
      <w:r>
        <w:rPr>
          <w:rFonts w:hint="eastAsia" w:ascii="仿宋_GB2312" w:eastAsia="仿宋_GB2312"/>
          <w:color w:val="auto"/>
          <w:sz w:val="32"/>
          <w:szCs w:val="32"/>
          <w:lang w:eastAsia="zh-CN"/>
        </w:rPr>
        <w:t>无既往病史，</w:t>
      </w:r>
      <w:r>
        <w:rPr>
          <w:rFonts w:hint="eastAsia" w:ascii="仿宋_GB2312" w:eastAsia="仿宋_GB2312"/>
          <w:color w:val="auto"/>
          <w:sz w:val="32"/>
          <w:szCs w:val="32"/>
        </w:rPr>
        <w:t>能胜任一线教学工作。</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w:t>
      </w:r>
      <w:r>
        <w:rPr>
          <w:rFonts w:hint="eastAsia" w:ascii="仿宋_GB2312" w:eastAsia="仿宋_GB2312"/>
          <w:color w:val="auto"/>
          <w:sz w:val="32"/>
          <w:szCs w:val="32"/>
        </w:rPr>
        <w:t>进入教师队伍的方式必须符合事业单位工作人员公开招聘及相关人事政策规定。</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应聘录取后，5年内不得提出调动申请。</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lang w:eastAsia="zh-CN"/>
        </w:rPr>
        <w:t>）</w:t>
      </w:r>
      <w:r>
        <w:rPr>
          <w:rFonts w:hint="eastAsia" w:ascii="仿宋_GB2312" w:eastAsia="仿宋_GB2312"/>
          <w:color w:val="auto"/>
          <w:sz w:val="32"/>
          <w:szCs w:val="32"/>
        </w:rPr>
        <w:t>对具有</w:t>
      </w:r>
      <w:r>
        <w:rPr>
          <w:rFonts w:hint="eastAsia" w:ascii="仿宋_GB2312" w:eastAsia="仿宋_GB2312"/>
          <w:color w:val="auto"/>
          <w:sz w:val="32"/>
          <w:szCs w:val="32"/>
          <w:lang w:val="en-US" w:eastAsia="zh-CN"/>
        </w:rPr>
        <w:t>中级以上</w:t>
      </w:r>
      <w:r>
        <w:rPr>
          <w:rFonts w:hint="eastAsia" w:ascii="仿宋_GB2312" w:eastAsia="仿宋_GB2312"/>
          <w:color w:val="auto"/>
          <w:sz w:val="32"/>
          <w:szCs w:val="32"/>
        </w:rPr>
        <w:t>职称或受到</w:t>
      </w:r>
      <w:r>
        <w:rPr>
          <w:rFonts w:hint="eastAsia" w:ascii="仿宋_GB2312" w:eastAsia="仿宋_GB2312"/>
          <w:color w:val="auto"/>
          <w:sz w:val="32"/>
          <w:szCs w:val="32"/>
          <w:lang w:val="en-US" w:eastAsia="zh-CN"/>
        </w:rPr>
        <w:t>设区市</w:t>
      </w:r>
      <w:r>
        <w:rPr>
          <w:rFonts w:hint="eastAsia" w:ascii="仿宋_GB2312" w:eastAsia="仿宋_GB2312"/>
          <w:color w:val="auto"/>
          <w:sz w:val="32"/>
          <w:szCs w:val="32"/>
        </w:rPr>
        <w:t>级及以上教育行政部门表彰奖励的人员，优先选调，岗位条件可适当放宽。</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lang w:eastAsia="zh-CN"/>
        </w:rPr>
        <w:t>）对于隐瞒既往病史的选调人员，一经发现，将不予选调，若已选调至我</w:t>
      </w:r>
      <w:r>
        <w:rPr>
          <w:rFonts w:hint="eastAsia" w:ascii="仿宋_GB2312" w:eastAsia="仿宋_GB2312"/>
          <w:color w:val="auto"/>
          <w:sz w:val="32"/>
          <w:szCs w:val="32"/>
          <w:lang w:val="en-US" w:eastAsia="zh-CN"/>
        </w:rPr>
        <w:t>市</w:t>
      </w:r>
      <w:r>
        <w:rPr>
          <w:rFonts w:hint="eastAsia" w:ascii="仿宋_GB2312" w:eastAsia="仿宋_GB2312"/>
          <w:color w:val="auto"/>
          <w:sz w:val="32"/>
          <w:szCs w:val="32"/>
          <w:lang w:eastAsia="zh-CN"/>
        </w:rPr>
        <w:t>的，后期一经查实，将予以解聘。</w:t>
      </w: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四、选调程序</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（一）报名</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报名时间为7月14日--7月31日（</w:t>
      </w:r>
      <w:bookmarkStart w:id="0" w:name="_GoBack"/>
      <w:bookmarkEnd w:id="0"/>
      <w:r>
        <w:rPr>
          <w:rFonts w:hint="eastAsia" w:ascii="仿宋_GB2312" w:eastAsia="仿宋_GB2312"/>
          <w:color w:val="auto"/>
          <w:sz w:val="32"/>
          <w:szCs w:val="32"/>
          <w:lang w:val="en-US" w:eastAsia="zh-CN"/>
        </w:rPr>
        <w:t>工作时间），报考人员持相关材料原件及复印件（复印件及验证件按以下顺序装订）现场进行报名，报名地点：渭南市华阴市教育科技局三楼人事劳资管理股（华阴市东岳路东段）。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报名时须提交的材料：</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1.《华阴市选调优秀教师报名登记表》两份(需有所在县市人社或教育部门签署同意报考意见，并加盖公章)；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2.身份证、毕业证书、学位证书（硕士研究生须同时提供本科毕业证书和学位证书）、教师资格证原件及复印件、《教育部学历证书电子注册备案表》、《中国高等教育学位在线验证报告》；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3.作为申报条件的县级及以上荣誉证及命名表彰相关文件（时间截至2023年7月30日）；</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4.原招聘录用手续（人社部门开具的干部行政介绍信、录用通知书等）；</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5.最新工资批文，近三年事业单位年度考核表。</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二</w:t>
      </w:r>
      <w:r>
        <w:rPr>
          <w:rFonts w:hint="eastAsia" w:ascii="楷体" w:hAnsi="楷体" w:eastAsia="楷体"/>
          <w:b/>
          <w:bCs/>
          <w:color w:val="auto"/>
          <w:sz w:val="32"/>
          <w:szCs w:val="32"/>
        </w:rPr>
        <w:t>）资格审核。</w:t>
      </w:r>
      <w:r>
        <w:rPr>
          <w:rFonts w:hint="eastAsia" w:ascii="仿宋_GB2312" w:eastAsia="仿宋_GB2312"/>
          <w:color w:val="auto"/>
          <w:sz w:val="32"/>
          <w:szCs w:val="32"/>
          <w:lang w:val="en-US" w:eastAsia="zh-CN"/>
        </w:rPr>
        <w:t>报名结束后由华阴市面向市域外公开选调优秀教师工作领导小组对申报材料进行审查。</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三</w:t>
      </w:r>
      <w:r>
        <w:rPr>
          <w:rFonts w:hint="eastAsia" w:ascii="楷体" w:hAnsi="楷体" w:eastAsia="楷体"/>
          <w:b/>
          <w:bCs/>
          <w:color w:val="auto"/>
          <w:sz w:val="32"/>
          <w:szCs w:val="32"/>
        </w:rPr>
        <w:t>）公布岗位及数量</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在华阴市人民政府网站（http://www.huayin.gov.cn/）公布资格审查结果与选调岗位及数量，本次选调不设开考比例。</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四</w:t>
      </w:r>
      <w:r>
        <w:rPr>
          <w:rFonts w:hint="eastAsia" w:ascii="楷体" w:hAnsi="楷体" w:eastAsia="楷体"/>
          <w:b/>
          <w:bCs/>
          <w:color w:val="auto"/>
          <w:sz w:val="32"/>
          <w:szCs w:val="32"/>
        </w:rPr>
        <w:t>）面试</w:t>
      </w:r>
      <w:r>
        <w:rPr>
          <w:rFonts w:hint="eastAsia" w:ascii="楷体" w:hAnsi="楷体" w:eastAsia="楷体"/>
          <w:b/>
          <w:bCs/>
          <w:color w:val="auto"/>
          <w:sz w:val="32"/>
          <w:szCs w:val="32"/>
          <w:lang w:eastAsia="zh-CN"/>
        </w:rPr>
        <w:t>评审</w:t>
      </w:r>
      <w:r>
        <w:rPr>
          <w:rFonts w:hint="eastAsia" w:ascii="楷体" w:hAnsi="楷体" w:eastAsia="楷体"/>
          <w:b/>
          <w:bCs/>
          <w:color w:val="auto"/>
          <w:sz w:val="32"/>
          <w:szCs w:val="32"/>
        </w:rPr>
        <w:t>。</w:t>
      </w:r>
      <w:r>
        <w:rPr>
          <w:rFonts w:hint="eastAsia" w:ascii="仿宋_GB2312" w:eastAsia="仿宋_GB2312"/>
          <w:color w:val="auto"/>
          <w:sz w:val="32"/>
          <w:szCs w:val="32"/>
          <w:lang w:val="en-US" w:eastAsia="zh-CN"/>
        </w:rPr>
        <w:t>面试以讲微型课与现场答辩形式进行，依据公布的岗位和数量，按照面试成绩由高到低的顺序，确定拟选调人选，具体事宜另行通知。</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有符合以</w:t>
      </w:r>
      <w:r>
        <w:rPr>
          <w:rFonts w:hint="eastAsia" w:ascii="仿宋_GB2312" w:eastAsia="仿宋_GB2312"/>
          <w:color w:val="auto"/>
          <w:sz w:val="32"/>
          <w:szCs w:val="32"/>
          <w:lang w:val="en-US" w:eastAsia="zh-CN"/>
        </w:rPr>
        <w:t>下</w:t>
      </w:r>
      <w:r>
        <w:rPr>
          <w:rFonts w:hint="default" w:ascii="仿宋_GB2312" w:eastAsia="仿宋_GB2312"/>
          <w:color w:val="auto"/>
          <w:sz w:val="32"/>
          <w:szCs w:val="32"/>
          <w:lang w:val="en-US" w:eastAsia="zh-CN"/>
        </w:rPr>
        <w:t>三项条件之一的应聘者，经资格审查，不用参加面试，直接进入体检环节。</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default" w:ascii="仿宋_GB2312" w:eastAsia="仿宋_GB2312"/>
          <w:color w:val="auto"/>
          <w:sz w:val="32"/>
          <w:szCs w:val="32"/>
          <w:lang w:val="en-US" w:eastAsia="zh-CN"/>
        </w:rPr>
        <w:t>具有</w:t>
      </w:r>
      <w:r>
        <w:rPr>
          <w:rFonts w:hint="eastAsia" w:ascii="仿宋_GB2312" w:eastAsia="仿宋_GB2312"/>
          <w:color w:val="auto"/>
          <w:sz w:val="32"/>
          <w:szCs w:val="32"/>
          <w:lang w:val="en-US" w:eastAsia="zh-CN"/>
        </w:rPr>
        <w:t>设区</w:t>
      </w:r>
      <w:r>
        <w:rPr>
          <w:rFonts w:hint="default" w:ascii="仿宋_GB2312" w:eastAsia="仿宋_GB2312"/>
          <w:color w:val="auto"/>
          <w:sz w:val="32"/>
          <w:szCs w:val="32"/>
          <w:lang w:val="en-US" w:eastAsia="zh-CN"/>
        </w:rPr>
        <w:t>市级及以上“</w:t>
      </w:r>
      <w:r>
        <w:rPr>
          <w:rFonts w:hint="eastAsia" w:ascii="仿宋_GB2312" w:eastAsia="仿宋_GB2312"/>
          <w:color w:val="auto"/>
          <w:sz w:val="32"/>
          <w:szCs w:val="32"/>
          <w:lang w:val="en-US" w:eastAsia="zh-CN"/>
        </w:rPr>
        <w:t>优秀</w:t>
      </w:r>
      <w:r>
        <w:rPr>
          <w:rFonts w:hint="default" w:ascii="仿宋_GB2312" w:eastAsia="仿宋_GB2312"/>
          <w:color w:val="auto"/>
          <w:sz w:val="32"/>
          <w:szCs w:val="32"/>
          <w:lang w:val="en-US" w:eastAsia="zh-CN"/>
        </w:rPr>
        <w:t>教师”</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“教学能手”、“学科带头人”、“教学名师”</w:t>
      </w:r>
      <w:r>
        <w:rPr>
          <w:rFonts w:hint="eastAsia" w:ascii="仿宋_GB2312" w:eastAsia="仿宋_GB2312"/>
          <w:color w:val="auto"/>
          <w:sz w:val="32"/>
          <w:szCs w:val="32"/>
          <w:lang w:val="en-US" w:eastAsia="zh-CN"/>
        </w:rPr>
        <w:t>及“特级教师”</w:t>
      </w:r>
      <w:r>
        <w:rPr>
          <w:rFonts w:hint="default" w:ascii="仿宋_GB2312" w:eastAsia="仿宋_GB2312"/>
          <w:color w:val="auto"/>
          <w:sz w:val="32"/>
          <w:szCs w:val="32"/>
          <w:lang w:val="en-US" w:eastAsia="zh-CN"/>
        </w:rPr>
        <w:t>荣誉称号之一</w:t>
      </w:r>
      <w:r>
        <w:rPr>
          <w:rFonts w:hint="eastAsia" w:ascii="仿宋_GB2312" w:eastAsia="仿宋_GB2312"/>
          <w:color w:val="auto"/>
          <w:sz w:val="32"/>
          <w:szCs w:val="32"/>
          <w:lang w:val="en-US" w:eastAsia="zh-CN"/>
        </w:rPr>
        <w:t>的教师</w:t>
      </w:r>
      <w:r>
        <w:rPr>
          <w:rFonts w:hint="default"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default" w:ascii="仿宋_GB2312" w:eastAsia="仿宋_GB2312"/>
          <w:color w:val="auto"/>
          <w:sz w:val="32"/>
          <w:szCs w:val="32"/>
          <w:lang w:val="en-US" w:eastAsia="zh-CN"/>
        </w:rPr>
        <w:t>具有教育部六所部属师范院校</w:t>
      </w:r>
      <w:r>
        <w:rPr>
          <w:rFonts w:hint="eastAsia" w:ascii="仿宋_GB2312" w:eastAsia="仿宋_GB2312"/>
          <w:color w:val="auto"/>
          <w:sz w:val="32"/>
          <w:szCs w:val="32"/>
          <w:lang w:val="en-US" w:eastAsia="zh-CN"/>
        </w:rPr>
        <w:t>全日制本科</w:t>
      </w:r>
      <w:r>
        <w:rPr>
          <w:rFonts w:hint="default" w:ascii="仿宋_GB2312" w:eastAsia="仿宋_GB2312"/>
          <w:color w:val="auto"/>
          <w:sz w:val="32"/>
          <w:szCs w:val="32"/>
          <w:lang w:val="en-US" w:eastAsia="zh-CN"/>
        </w:rPr>
        <w:t>及以上学历的教师；</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default" w:ascii="仿宋_GB2312" w:eastAsia="仿宋_GB2312"/>
          <w:color w:val="auto"/>
          <w:sz w:val="32"/>
          <w:szCs w:val="32"/>
          <w:lang w:val="en-US" w:eastAsia="zh-CN"/>
        </w:rPr>
        <w:t>按照公费师范生聘用的教师。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b/>
          <w:bCs/>
          <w:color w:val="auto"/>
          <w:sz w:val="32"/>
          <w:szCs w:val="32"/>
        </w:rPr>
        <w:t>（</w:t>
      </w:r>
      <w:r>
        <w:rPr>
          <w:rFonts w:hint="eastAsia" w:ascii="楷体" w:hAnsi="楷体" w:eastAsia="楷体"/>
          <w:b/>
          <w:bCs/>
          <w:color w:val="auto"/>
          <w:sz w:val="32"/>
          <w:szCs w:val="32"/>
          <w:lang w:val="en-US" w:eastAsia="zh-CN"/>
        </w:rPr>
        <w:t>五</w:t>
      </w:r>
      <w:r>
        <w:rPr>
          <w:rFonts w:hint="eastAsia" w:ascii="楷体" w:hAnsi="楷体" w:eastAsia="楷体"/>
          <w:b/>
          <w:bCs/>
          <w:color w:val="auto"/>
          <w:sz w:val="32"/>
          <w:szCs w:val="32"/>
        </w:rPr>
        <w:t>）</w:t>
      </w:r>
      <w:r>
        <w:rPr>
          <w:rFonts w:hint="eastAsia" w:ascii="楷体" w:hAnsi="楷体" w:eastAsia="楷体" w:cs="Times New Roman"/>
          <w:b/>
          <w:bCs/>
          <w:color w:val="auto"/>
          <w:kern w:val="2"/>
          <w:sz w:val="32"/>
          <w:szCs w:val="32"/>
          <w:lang w:val="en-US" w:eastAsia="zh-CN" w:bidi="ar-SA"/>
        </w:rPr>
        <w:t>体检</w:t>
      </w:r>
      <w:r>
        <w:rPr>
          <w:rFonts w:ascii="微软雅黑" w:hAnsi="微软雅黑" w:eastAsia="微软雅黑" w:cs="微软雅黑"/>
          <w:i w:val="0"/>
          <w:iCs w:val="0"/>
          <w:caps w:val="0"/>
          <w:color w:val="auto"/>
          <w:spacing w:val="0"/>
          <w:sz w:val="24"/>
          <w:szCs w:val="24"/>
        </w:rPr>
        <w:t>。</w:t>
      </w:r>
      <w:r>
        <w:rPr>
          <w:rFonts w:hint="eastAsia" w:ascii="仿宋_GB2312" w:eastAsia="仿宋_GB2312"/>
          <w:color w:val="auto"/>
          <w:sz w:val="32"/>
          <w:szCs w:val="32"/>
          <w:lang w:val="en-US" w:eastAsia="zh-CN"/>
        </w:rPr>
        <w:t>体检参照《公务员录用体检通用标准（试行）》进行，对体检不合格的项目可复检一次，复检结果作为最终结果。体检不合格者，根据能力测试成绩从高分到低分进行递补。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楷体" w:hAnsi="楷体" w:eastAsia="楷体"/>
          <w:b/>
          <w:bCs/>
          <w:color w:val="auto"/>
          <w:sz w:val="32"/>
          <w:szCs w:val="32"/>
        </w:rPr>
        <w:t>（</w:t>
      </w:r>
      <w:r>
        <w:rPr>
          <w:rFonts w:hint="eastAsia" w:ascii="楷体" w:hAnsi="楷体" w:eastAsia="楷体"/>
          <w:b/>
          <w:bCs/>
          <w:color w:val="auto"/>
          <w:sz w:val="32"/>
          <w:szCs w:val="32"/>
          <w:lang w:eastAsia="zh-CN"/>
        </w:rPr>
        <w:t>六</w:t>
      </w:r>
      <w:r>
        <w:rPr>
          <w:rFonts w:hint="eastAsia" w:ascii="楷体" w:hAnsi="楷体" w:eastAsia="楷体"/>
          <w:b/>
          <w:bCs/>
          <w:color w:val="auto"/>
          <w:sz w:val="32"/>
          <w:szCs w:val="32"/>
        </w:rPr>
        <w:t>）</w:t>
      </w:r>
      <w:r>
        <w:rPr>
          <w:rFonts w:hint="eastAsia" w:ascii="楷体" w:hAnsi="楷体" w:eastAsia="楷体"/>
          <w:b/>
          <w:bCs/>
          <w:color w:val="auto"/>
          <w:sz w:val="32"/>
          <w:szCs w:val="32"/>
          <w:lang w:eastAsia="zh-CN"/>
        </w:rPr>
        <w:t>公示</w:t>
      </w:r>
      <w:r>
        <w:rPr>
          <w:rFonts w:hint="eastAsia" w:ascii="仿宋_GB2312" w:hAnsi="Calibri" w:eastAsia="仿宋_GB2312" w:cs="Times New Roman"/>
          <w:b/>
          <w:bCs/>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体检合格的拟选调人员名单在华阴市人民政府网站（http://www.huayin.gov.cn/）进行公示，公示期限为7天。</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3" w:firstLineChars="200"/>
        <w:textAlignment w:val="auto"/>
        <w:rPr>
          <w:rFonts w:hint="eastAsia" w:ascii="仿宋_GB2312" w:eastAsia="仿宋_GB2312" w:hAnsiTheme="minorHAnsi" w:cstheme="minorBidi"/>
          <w:color w:val="auto"/>
          <w:kern w:val="2"/>
          <w:sz w:val="32"/>
          <w:szCs w:val="32"/>
          <w:lang w:val="en-US" w:eastAsia="zh-CN" w:bidi="ar-SA"/>
        </w:rPr>
      </w:pPr>
      <w:r>
        <w:rPr>
          <w:rFonts w:hint="eastAsia" w:ascii="楷体" w:hAnsi="楷体" w:eastAsia="楷体"/>
          <w:b/>
          <w:bCs/>
          <w:color w:val="auto"/>
          <w:sz w:val="32"/>
          <w:szCs w:val="32"/>
          <w:lang w:eastAsia="zh-CN"/>
        </w:rPr>
        <w:t>（</w:t>
      </w:r>
      <w:r>
        <w:rPr>
          <w:rFonts w:hint="eastAsia" w:ascii="楷体" w:hAnsi="楷体" w:eastAsia="楷体"/>
          <w:b/>
          <w:bCs/>
          <w:color w:val="auto"/>
          <w:sz w:val="32"/>
          <w:szCs w:val="32"/>
          <w:lang w:val="en-US" w:eastAsia="zh-CN"/>
        </w:rPr>
        <w:t>七</w:t>
      </w:r>
      <w:r>
        <w:rPr>
          <w:rFonts w:hint="eastAsia" w:ascii="楷体" w:hAnsi="楷体" w:eastAsia="楷体"/>
          <w:b/>
          <w:bCs/>
          <w:color w:val="auto"/>
          <w:sz w:val="32"/>
          <w:szCs w:val="32"/>
          <w:lang w:eastAsia="zh-CN"/>
        </w:rPr>
        <w:t>）考察及</w:t>
      </w:r>
      <w:r>
        <w:rPr>
          <w:rFonts w:hint="eastAsia" w:ascii="楷体" w:hAnsi="楷体" w:eastAsia="楷体"/>
          <w:b/>
          <w:bCs/>
          <w:color w:val="auto"/>
          <w:sz w:val="32"/>
          <w:szCs w:val="32"/>
        </w:rPr>
        <w:t>审查档案。</w:t>
      </w:r>
      <w:r>
        <w:rPr>
          <w:rFonts w:hint="eastAsia" w:ascii="仿宋_GB2312" w:eastAsia="仿宋_GB2312" w:hAnsiTheme="minorHAnsi" w:cstheme="minorBidi"/>
          <w:color w:val="auto"/>
          <w:kern w:val="2"/>
          <w:sz w:val="32"/>
          <w:szCs w:val="32"/>
          <w:lang w:val="en-US" w:eastAsia="zh-CN" w:bidi="ar-SA"/>
        </w:rPr>
        <w:t>教科局会同人社局对拟选调人员进行考察及档案审查，考察不合格及档案有不符合事业单位工作人员聘用或公开招聘等人事管理相关规定的，视为不合格，取消选调资格。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both"/>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hAnsi="Calibri" w:eastAsia="仿宋_GB2312" w:cs="Times New Roman"/>
          <w:b/>
          <w:bCs/>
          <w:color w:val="auto"/>
          <w:kern w:val="2"/>
          <w:sz w:val="32"/>
          <w:szCs w:val="32"/>
          <w:lang w:val="en-US" w:eastAsia="zh-CN" w:bidi="ar-SA"/>
        </w:rPr>
        <w:t>（八）聘用。</w:t>
      </w:r>
      <w:r>
        <w:rPr>
          <w:rFonts w:hint="eastAsia" w:ascii="仿宋_GB2312" w:eastAsia="仿宋_GB2312" w:hAnsiTheme="minorHAnsi" w:cstheme="minorBidi"/>
          <w:color w:val="auto"/>
          <w:kern w:val="2"/>
          <w:sz w:val="32"/>
          <w:szCs w:val="32"/>
          <w:lang w:val="en-US" w:eastAsia="zh-CN" w:bidi="ar-SA"/>
        </w:rPr>
        <w:t>经考察及档案审查合格的，报华阴市面向市域外公开选调优秀教师工作领导小组研究通过后，由人社、编制、教育、财政等部门按照确定的选调人员名单办理调入、入编、聘用等相关手续。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Times New Roman"/>
          <w:b w:val="0"/>
          <w:bCs w:val="0"/>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04" w:firstLineChars="189"/>
        <w:jc w:val="both"/>
        <w:textAlignment w:val="auto"/>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本</w:t>
      </w:r>
      <w:r>
        <w:rPr>
          <w:rFonts w:hint="eastAsia" w:ascii="黑体" w:hAnsi="黑体" w:eastAsia="黑体" w:cs="Times New Roman"/>
          <w:color w:val="auto"/>
          <w:kern w:val="2"/>
          <w:sz w:val="32"/>
          <w:szCs w:val="32"/>
          <w:lang w:val="en-US" w:eastAsia="zh-CN"/>
        </w:rPr>
        <w:t>公告内容及</w:t>
      </w:r>
      <w:r>
        <w:rPr>
          <w:rFonts w:hint="eastAsia" w:ascii="黑体" w:hAnsi="黑体" w:eastAsia="黑体" w:cs="Times New Roman"/>
          <w:color w:val="auto"/>
          <w:kern w:val="2"/>
          <w:sz w:val="32"/>
          <w:szCs w:val="32"/>
        </w:rPr>
        <w:t>未尽事宜由</w:t>
      </w:r>
      <w:r>
        <w:rPr>
          <w:rFonts w:hint="eastAsia" w:ascii="黑体" w:hAnsi="黑体" w:eastAsia="黑体" w:cs="Times New Roman"/>
          <w:color w:val="auto"/>
          <w:kern w:val="2"/>
          <w:sz w:val="32"/>
          <w:szCs w:val="32"/>
          <w:lang w:val="en-US" w:eastAsia="zh-CN"/>
        </w:rPr>
        <w:t>华阴</w:t>
      </w:r>
      <w:r>
        <w:rPr>
          <w:rFonts w:hint="eastAsia" w:ascii="黑体" w:hAnsi="黑体" w:eastAsia="黑体" w:cs="Times New Roman"/>
          <w:color w:val="auto"/>
          <w:kern w:val="2"/>
          <w:sz w:val="32"/>
          <w:szCs w:val="32"/>
          <w:lang w:eastAsia="zh-CN"/>
        </w:rPr>
        <w:t>市</w:t>
      </w:r>
      <w:r>
        <w:rPr>
          <w:rFonts w:hint="eastAsia" w:ascii="黑体" w:hAnsi="黑体" w:eastAsia="黑体" w:cs="Times New Roman"/>
          <w:color w:val="auto"/>
          <w:kern w:val="2"/>
          <w:sz w:val="32"/>
          <w:szCs w:val="32"/>
        </w:rPr>
        <w:t>面向</w:t>
      </w:r>
      <w:r>
        <w:rPr>
          <w:rFonts w:hint="eastAsia" w:ascii="黑体" w:hAnsi="黑体" w:eastAsia="黑体" w:cs="Times New Roman"/>
          <w:color w:val="auto"/>
          <w:kern w:val="2"/>
          <w:sz w:val="32"/>
          <w:szCs w:val="32"/>
          <w:lang w:val="en-US" w:eastAsia="zh-CN"/>
        </w:rPr>
        <w:t>市域外</w:t>
      </w:r>
      <w:r>
        <w:rPr>
          <w:rFonts w:hint="eastAsia" w:ascii="黑体" w:hAnsi="黑体" w:eastAsia="黑体" w:cs="Times New Roman"/>
          <w:color w:val="auto"/>
          <w:kern w:val="2"/>
          <w:sz w:val="32"/>
          <w:szCs w:val="32"/>
        </w:rPr>
        <w:t>公开选调优秀教师</w:t>
      </w:r>
      <w:r>
        <w:rPr>
          <w:rFonts w:hint="eastAsia" w:ascii="黑体" w:hAnsi="黑体" w:eastAsia="黑体" w:cs="Times New Roman"/>
          <w:color w:val="auto"/>
          <w:kern w:val="2"/>
          <w:sz w:val="32"/>
          <w:szCs w:val="32"/>
          <w:lang w:val="en-US" w:eastAsia="zh-CN"/>
        </w:rPr>
        <w:t>工作</w:t>
      </w:r>
      <w:r>
        <w:rPr>
          <w:rFonts w:hint="eastAsia" w:ascii="黑体" w:hAnsi="黑体" w:eastAsia="黑体" w:cs="Times New Roman"/>
          <w:color w:val="auto"/>
          <w:kern w:val="2"/>
          <w:sz w:val="32"/>
          <w:szCs w:val="32"/>
        </w:rPr>
        <w:t>领导小组办公室负责解释。</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04" w:firstLineChars="189"/>
        <w:jc w:val="both"/>
        <w:textAlignment w:val="auto"/>
        <w:rPr>
          <w:rFonts w:hint="eastAsia"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附件：华</w:t>
      </w:r>
      <w:r>
        <w:rPr>
          <w:rFonts w:hint="eastAsia" w:ascii="仿宋_GB2312" w:hAnsi="黑体" w:eastAsia="仿宋_GB2312" w:cs="Times New Roman"/>
          <w:color w:val="auto"/>
          <w:kern w:val="2"/>
          <w:sz w:val="32"/>
          <w:szCs w:val="32"/>
          <w:lang w:eastAsia="zh-CN"/>
        </w:rPr>
        <w:t>阴市</w:t>
      </w:r>
      <w:r>
        <w:rPr>
          <w:rFonts w:hint="eastAsia" w:ascii="仿宋_GB2312" w:hAnsi="黑体" w:eastAsia="仿宋_GB2312" w:cs="Times New Roman"/>
          <w:color w:val="auto"/>
          <w:kern w:val="2"/>
          <w:sz w:val="32"/>
          <w:szCs w:val="32"/>
          <w:lang w:val="en-US" w:eastAsia="zh-CN"/>
        </w:rPr>
        <w:t>公开</w:t>
      </w:r>
      <w:r>
        <w:rPr>
          <w:rFonts w:hint="eastAsia" w:ascii="仿宋_GB2312" w:hAnsi="黑体" w:eastAsia="仿宋_GB2312" w:cs="Times New Roman"/>
          <w:color w:val="auto"/>
          <w:kern w:val="2"/>
          <w:sz w:val="32"/>
          <w:szCs w:val="32"/>
        </w:rPr>
        <w:t>选调优秀教师报名登记表</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04" w:firstLineChars="189"/>
        <w:jc w:val="both"/>
        <w:textAlignment w:val="auto"/>
        <w:rPr>
          <w:rFonts w:hint="eastAsia"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咨询电话：0913-4611398</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04" w:firstLineChars="189"/>
        <w:jc w:val="both"/>
        <w:textAlignment w:val="auto"/>
        <w:rPr>
          <w:rFonts w:hint="default" w:ascii="仿宋_GB2312" w:hAnsi="黑体" w:eastAsia="仿宋_GB2312" w:cs="Times New Roman"/>
          <w:color w:val="auto"/>
          <w:kern w:val="2"/>
          <w:sz w:val="32"/>
          <w:szCs w:val="32"/>
          <w:lang w:val="en-US" w:eastAsia="zh-CN"/>
        </w:rPr>
      </w:pPr>
      <w:r>
        <w:rPr>
          <w:rFonts w:hint="eastAsia" w:ascii="仿宋_GB2312" w:hAnsi="黑体" w:eastAsia="仿宋_GB2312" w:cs="Times New Roman"/>
          <w:color w:val="auto"/>
          <w:kern w:val="2"/>
          <w:sz w:val="32"/>
          <w:szCs w:val="32"/>
          <w:lang w:val="en-US" w:eastAsia="zh-CN"/>
        </w:rPr>
        <w:t xml:space="preserve">          0913-4612335</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04" w:firstLineChars="189"/>
        <w:jc w:val="both"/>
        <w:textAlignment w:val="auto"/>
        <w:rPr>
          <w:rFonts w:hint="default" w:ascii="仿宋_GB2312" w:hAnsi="黑体" w:eastAsia="仿宋_GB2312" w:cs="Times New Roman"/>
          <w:color w:val="auto"/>
          <w:kern w:val="2"/>
          <w:sz w:val="32"/>
          <w:szCs w:val="32"/>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 xml:space="preserve">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Times New Roman"/>
          <w:b w:val="0"/>
          <w:bCs w:val="0"/>
          <w:color w:val="auto"/>
          <w:kern w:val="2"/>
          <w:sz w:val="32"/>
          <w:szCs w:val="32"/>
          <w:lang w:val="en-US" w:eastAsia="zh-CN" w:bidi="ar-SA"/>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2880" w:firstLineChars="900"/>
        <w:jc w:val="both"/>
        <w:textAlignment w:val="auto"/>
        <w:rPr>
          <w:rFonts w:hint="eastAsia" w:ascii="仿宋_GB2312" w:eastAsia="仿宋_GB2312"/>
          <w:color w:val="auto"/>
          <w:sz w:val="32"/>
          <w:szCs w:val="32"/>
          <w:lang w:val="en-US" w:eastAsia="zh-CN"/>
        </w:rPr>
      </w:pPr>
      <w:r>
        <w:rPr>
          <w:rFonts w:hint="eastAsia" w:ascii="仿宋_GB2312" w:hAnsi="Calibri" w:eastAsia="仿宋_GB2312" w:cs="Times New Roman"/>
          <w:b w:val="0"/>
          <w:bCs w:val="0"/>
          <w:color w:val="auto"/>
          <w:kern w:val="2"/>
          <w:sz w:val="32"/>
          <w:szCs w:val="32"/>
          <w:lang w:val="en-US" w:eastAsia="zh-CN" w:bidi="ar-SA"/>
        </w:rPr>
        <w:t>华阴市面向市域外公开</w:t>
      </w:r>
      <w:r>
        <w:rPr>
          <w:rFonts w:hint="eastAsia" w:ascii="仿宋_GB2312" w:eastAsia="仿宋_GB2312"/>
          <w:color w:val="auto"/>
          <w:sz w:val="32"/>
          <w:szCs w:val="32"/>
        </w:rPr>
        <w:t>选调</w:t>
      </w:r>
      <w:r>
        <w:rPr>
          <w:rFonts w:hint="eastAsia" w:ascii="仿宋_GB2312" w:eastAsia="仿宋_GB2312"/>
          <w:color w:val="auto"/>
          <w:sz w:val="32"/>
          <w:szCs w:val="32"/>
          <w:lang w:val="en-US" w:eastAsia="zh-CN"/>
        </w:rPr>
        <w:t>优秀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3520" w:firstLineChars="11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教师</w:t>
      </w:r>
      <w:r>
        <w:rPr>
          <w:rFonts w:hint="eastAsia" w:ascii="仿宋_GB2312" w:eastAsia="仿宋_GB2312"/>
          <w:color w:val="auto"/>
          <w:sz w:val="32"/>
          <w:szCs w:val="32"/>
        </w:rPr>
        <w:t>工作领导小组</w:t>
      </w:r>
      <w:r>
        <w:rPr>
          <w:rFonts w:hint="eastAsia" w:ascii="仿宋_GB2312" w:eastAsia="仿宋_GB2312"/>
          <w:color w:val="auto"/>
          <w:sz w:val="32"/>
          <w:szCs w:val="32"/>
          <w:lang w:val="en-US" w:eastAsia="zh-CN"/>
        </w:rPr>
        <w:t>办公室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3840" w:firstLineChars="1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2023年7月13日</w:t>
      </w:r>
    </w:p>
    <w:p>
      <w:pPr>
        <w:keepNext w:val="0"/>
        <w:keepLines w:val="0"/>
        <w:pageBreakBefore w:val="0"/>
        <w:widowControl w:val="0"/>
        <w:kinsoku/>
        <w:wordWrap/>
        <w:overflowPunct/>
        <w:topLinePunct w:val="0"/>
        <w:autoSpaceDE/>
        <w:autoSpaceDN/>
        <w:bidi w:val="0"/>
        <w:adjustRightInd/>
        <w:spacing w:line="560" w:lineRule="exact"/>
        <w:ind w:left="0" w:firstLine="800" w:firstLineChars="250"/>
        <w:textAlignment w:val="auto"/>
        <w:rPr>
          <w:rFonts w:hint="eastAsia" w:ascii="仿宋" w:hAnsi="仿宋" w:eastAsia="仿宋" w:cs="仿宋"/>
          <w:color w:val="auto"/>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auto"/>
          <w:spacing w:val="30"/>
          <w:sz w:val="25"/>
          <w:szCs w:val="25"/>
          <w:shd w:val="clear" w:fill="FFFFFF"/>
        </w:rPr>
      </w:pPr>
    </w:p>
    <w:p>
      <w:pPr>
        <w:keepNext w:val="0"/>
        <w:keepLines w:val="0"/>
        <w:pageBreakBefore w:val="0"/>
        <w:widowControl w:val="0"/>
        <w:tabs>
          <w:tab w:val="left" w:pos="7740"/>
        </w:tabs>
        <w:kinsoku/>
        <w:wordWrap/>
        <w:overflowPunct/>
        <w:topLinePunct w:val="0"/>
        <w:autoSpaceDE/>
        <w:autoSpaceDN/>
        <w:bidi w:val="0"/>
        <w:adjustRightInd/>
        <w:spacing w:line="560" w:lineRule="exact"/>
        <w:ind w:left="0"/>
        <w:jc w:val="left"/>
        <w:textAlignment w:val="auto"/>
        <w:rPr>
          <w:rFonts w:hint="eastAsia" w:ascii="黑体" w:hAnsi="黑体" w:eastAsia="黑体"/>
          <w:color w:val="auto"/>
          <w:sz w:val="32"/>
          <w:szCs w:val="32"/>
        </w:rPr>
      </w:pPr>
    </w:p>
    <w:p>
      <w:pPr>
        <w:keepNext w:val="0"/>
        <w:keepLines w:val="0"/>
        <w:pageBreakBefore w:val="0"/>
        <w:widowControl w:val="0"/>
        <w:tabs>
          <w:tab w:val="left" w:pos="7740"/>
        </w:tabs>
        <w:kinsoku/>
        <w:wordWrap/>
        <w:overflowPunct/>
        <w:topLinePunct w:val="0"/>
        <w:autoSpaceDE/>
        <w:autoSpaceDN/>
        <w:bidi w:val="0"/>
        <w:adjustRightInd/>
        <w:spacing w:line="560" w:lineRule="exact"/>
        <w:ind w:left="0"/>
        <w:jc w:val="left"/>
        <w:textAlignment w:val="auto"/>
        <w:rPr>
          <w:rFonts w:hint="eastAsia" w:ascii="黑体" w:hAnsi="黑体" w:eastAsia="黑体"/>
          <w:color w:val="auto"/>
          <w:sz w:val="32"/>
          <w:szCs w:val="32"/>
        </w:rPr>
      </w:pPr>
    </w:p>
    <w:p>
      <w:pPr>
        <w:keepNext w:val="0"/>
        <w:keepLines w:val="0"/>
        <w:pageBreakBefore w:val="0"/>
        <w:widowControl w:val="0"/>
        <w:tabs>
          <w:tab w:val="left" w:pos="7740"/>
        </w:tabs>
        <w:kinsoku/>
        <w:wordWrap/>
        <w:overflowPunct/>
        <w:topLinePunct w:val="0"/>
        <w:autoSpaceDE/>
        <w:autoSpaceDN/>
        <w:bidi w:val="0"/>
        <w:adjustRightInd/>
        <w:spacing w:line="560" w:lineRule="exact"/>
        <w:ind w:left="0"/>
        <w:jc w:val="left"/>
        <w:textAlignment w:val="auto"/>
        <w:rPr>
          <w:rFonts w:hint="eastAsia" w:ascii="黑体" w:hAnsi="黑体" w:eastAsia="黑体"/>
          <w:color w:val="auto"/>
          <w:sz w:val="32"/>
          <w:szCs w:val="32"/>
        </w:rPr>
      </w:pPr>
    </w:p>
    <w:p>
      <w:pPr>
        <w:keepNext w:val="0"/>
        <w:keepLines w:val="0"/>
        <w:pageBreakBefore w:val="0"/>
        <w:widowControl w:val="0"/>
        <w:tabs>
          <w:tab w:val="left" w:pos="7740"/>
        </w:tabs>
        <w:kinsoku/>
        <w:wordWrap/>
        <w:overflowPunct/>
        <w:topLinePunct w:val="0"/>
        <w:autoSpaceDE/>
        <w:autoSpaceDN/>
        <w:bidi w:val="0"/>
        <w:adjustRightInd/>
        <w:spacing w:line="560" w:lineRule="exact"/>
        <w:ind w:left="0"/>
        <w:jc w:val="left"/>
        <w:textAlignment w:val="auto"/>
        <w:rPr>
          <w:rFonts w:hint="eastAsia" w:ascii="黑体" w:hAnsi="黑体" w:eastAsia="黑体"/>
          <w:color w:val="auto"/>
          <w:sz w:val="32"/>
          <w:szCs w:val="32"/>
        </w:rPr>
      </w:pPr>
    </w:p>
    <w:p>
      <w:pPr>
        <w:keepNext w:val="0"/>
        <w:keepLines w:val="0"/>
        <w:pageBreakBefore w:val="0"/>
        <w:widowControl w:val="0"/>
        <w:tabs>
          <w:tab w:val="left" w:pos="7740"/>
        </w:tabs>
        <w:kinsoku/>
        <w:wordWrap/>
        <w:overflowPunct/>
        <w:topLinePunct w:val="0"/>
        <w:autoSpaceDE/>
        <w:autoSpaceDN/>
        <w:bidi w:val="0"/>
        <w:adjustRightInd/>
        <w:spacing w:line="560" w:lineRule="exact"/>
        <w:ind w:left="0"/>
        <w:jc w:val="left"/>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 xml:space="preserve">     </w:t>
      </w:r>
    </w:p>
    <w:p>
      <w:pPr>
        <w:keepNext w:val="0"/>
        <w:keepLines w:val="0"/>
        <w:pageBreakBefore w:val="0"/>
        <w:widowControl w:val="0"/>
        <w:tabs>
          <w:tab w:val="left" w:pos="7740"/>
        </w:tabs>
        <w:kinsoku/>
        <w:wordWrap/>
        <w:overflowPunct/>
        <w:topLinePunct w:val="0"/>
        <w:autoSpaceDE/>
        <w:autoSpaceDN/>
        <w:bidi w:val="0"/>
        <w:adjustRightInd/>
        <w:snapToGrid/>
        <w:spacing w:line="460" w:lineRule="exact"/>
        <w:ind w:left="0" w:firstLine="1280" w:firstLineChars="400"/>
        <w:jc w:val="left"/>
        <w:textAlignment w:val="auto"/>
        <w:rPr>
          <w:rFonts w:hint="eastAsia" w:ascii="方正小标宋简体" w:hAnsi="宋体" w:eastAsia="方正小标宋简体"/>
          <w:color w:val="auto"/>
          <w:sz w:val="36"/>
          <w:szCs w:val="36"/>
        </w:rPr>
      </w:pPr>
      <w:r>
        <w:rPr>
          <w:rFonts w:hint="eastAsia" w:ascii="黑体" w:hAnsi="黑体" w:eastAsia="黑体"/>
          <w:color w:val="auto"/>
          <w:sz w:val="32"/>
          <w:szCs w:val="32"/>
          <w:lang w:val="en-US" w:eastAsia="zh-CN"/>
        </w:rPr>
        <w:t xml:space="preserve"> </w:t>
      </w:r>
      <w:r>
        <w:rPr>
          <w:rFonts w:hint="eastAsia" w:ascii="方正小标宋简体" w:hAnsi="宋体" w:eastAsia="方正小标宋简体"/>
          <w:color w:val="auto"/>
          <w:sz w:val="36"/>
          <w:szCs w:val="36"/>
        </w:rPr>
        <w:t>华</w:t>
      </w:r>
      <w:r>
        <w:rPr>
          <w:rFonts w:hint="eastAsia" w:ascii="方正小标宋简体" w:hAnsi="宋体" w:eastAsia="方正小标宋简体"/>
          <w:color w:val="auto"/>
          <w:sz w:val="36"/>
          <w:szCs w:val="36"/>
          <w:lang w:eastAsia="zh-CN"/>
        </w:rPr>
        <w:t>阴市</w:t>
      </w:r>
      <w:r>
        <w:rPr>
          <w:rFonts w:hint="eastAsia" w:ascii="方正小标宋简体" w:hAnsi="宋体" w:eastAsia="方正小标宋简体"/>
          <w:color w:val="auto"/>
          <w:sz w:val="36"/>
          <w:szCs w:val="36"/>
          <w:lang w:val="en-US" w:eastAsia="zh-CN"/>
        </w:rPr>
        <w:t>公开</w:t>
      </w:r>
      <w:r>
        <w:rPr>
          <w:rFonts w:hint="eastAsia" w:ascii="方正小标宋简体" w:hAnsi="宋体" w:eastAsia="方正小标宋简体"/>
          <w:color w:val="auto"/>
          <w:sz w:val="36"/>
          <w:szCs w:val="36"/>
        </w:rPr>
        <w:t>选调优秀教师报名登记表</w:t>
      </w:r>
    </w:p>
    <w:tbl>
      <w:tblPr>
        <w:tblStyle w:val="4"/>
        <w:tblW w:w="8817" w:type="dxa"/>
        <w:jc w:val="center"/>
        <w:tblLayout w:type="fixed"/>
        <w:tblCellMar>
          <w:top w:w="0" w:type="dxa"/>
          <w:left w:w="0" w:type="dxa"/>
          <w:bottom w:w="0" w:type="dxa"/>
          <w:right w:w="0" w:type="dxa"/>
        </w:tblCellMar>
      </w:tblPr>
      <w:tblGrid>
        <w:gridCol w:w="1779"/>
        <w:gridCol w:w="1161"/>
        <w:gridCol w:w="189"/>
        <w:gridCol w:w="1146"/>
        <w:gridCol w:w="842"/>
        <w:gridCol w:w="797"/>
        <w:gridCol w:w="304"/>
        <w:gridCol w:w="867"/>
        <w:gridCol w:w="395"/>
        <w:gridCol w:w="1337"/>
      </w:tblGrid>
      <w:tr>
        <w:tblPrEx>
          <w:tblCellMar>
            <w:top w:w="0" w:type="dxa"/>
            <w:left w:w="0" w:type="dxa"/>
            <w:bottom w:w="0" w:type="dxa"/>
            <w:right w:w="0" w:type="dxa"/>
          </w:tblCellMar>
        </w:tblPrEx>
        <w:trPr>
          <w:trHeight w:val="508" w:hRule="atLeast"/>
          <w:jc w:val="center"/>
        </w:trPr>
        <w:tc>
          <w:tcPr>
            <w:tcW w:w="1779" w:type="dxa"/>
            <w:tcBorders>
              <w:top w:val="single" w:color="auto" w:sz="8"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姓  名</w:t>
            </w:r>
          </w:p>
        </w:tc>
        <w:tc>
          <w:tcPr>
            <w:tcW w:w="1161" w:type="dxa"/>
            <w:tcBorders>
              <w:top w:val="single" w:color="auto" w:sz="8"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335" w:type="dxa"/>
            <w:gridSpan w:val="2"/>
            <w:tcBorders>
              <w:top w:val="single" w:color="auto" w:sz="8"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  别</w:t>
            </w:r>
          </w:p>
        </w:tc>
        <w:tc>
          <w:tcPr>
            <w:tcW w:w="842" w:type="dxa"/>
            <w:tcBorders>
              <w:top w:val="single" w:color="auto" w:sz="8"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797" w:type="dxa"/>
            <w:tcBorders>
              <w:top w:val="single" w:color="auto" w:sz="8"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民族</w:t>
            </w:r>
          </w:p>
        </w:tc>
        <w:tc>
          <w:tcPr>
            <w:tcW w:w="1171" w:type="dxa"/>
            <w:gridSpan w:val="2"/>
            <w:tcBorders>
              <w:top w:val="single" w:color="auto" w:sz="8"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732" w:type="dxa"/>
            <w:gridSpan w:val="2"/>
            <w:vMerge w:val="restart"/>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rPr>
              <w:t>小二寸</w:t>
            </w:r>
            <w:r>
              <w:rPr>
                <w:rFonts w:hint="eastAsia" w:ascii="仿宋_GB2312" w:hAnsi="仿宋_GB2312" w:eastAsia="仿宋_GB2312" w:cs="仿宋_GB2312"/>
                <w:color w:val="auto"/>
                <w:kern w:val="0"/>
                <w:szCs w:val="21"/>
                <w:lang w:val="en-US" w:eastAsia="zh-CN"/>
              </w:rPr>
              <w:t>近期免冠照</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lang w:val="en-US" w:eastAsia="zh-CN"/>
              </w:rPr>
              <w:t>贴原件</w:t>
            </w:r>
            <w:r>
              <w:rPr>
                <w:rFonts w:hint="eastAsia" w:ascii="仿宋_GB2312" w:hAnsi="仿宋_GB2312" w:eastAsia="仿宋_GB2312" w:cs="仿宋_GB2312"/>
                <w:color w:val="auto"/>
                <w:kern w:val="0"/>
                <w:szCs w:val="21"/>
                <w:lang w:eastAsia="zh-CN"/>
              </w:rPr>
              <w:t>）</w:t>
            </w:r>
          </w:p>
        </w:tc>
      </w:tr>
      <w:tr>
        <w:tblPrEx>
          <w:tblCellMar>
            <w:top w:w="0" w:type="dxa"/>
            <w:left w:w="0" w:type="dxa"/>
            <w:bottom w:w="0" w:type="dxa"/>
            <w:right w:w="0" w:type="dxa"/>
          </w:tblCellMar>
        </w:tblPrEx>
        <w:trPr>
          <w:trHeight w:val="503"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出生年月</w:t>
            </w:r>
          </w:p>
        </w:tc>
        <w:tc>
          <w:tcPr>
            <w:tcW w:w="116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33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firstLine="12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政治面貌</w:t>
            </w:r>
          </w:p>
        </w:tc>
        <w:tc>
          <w:tcPr>
            <w:tcW w:w="8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7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学历</w:t>
            </w:r>
          </w:p>
        </w:tc>
        <w:tc>
          <w:tcPr>
            <w:tcW w:w="1171"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732" w:type="dxa"/>
            <w:gridSpan w:val="2"/>
            <w:vMerge w:val="continue"/>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ind w:left="0"/>
              <w:jc w:val="left"/>
              <w:textAlignment w:val="auto"/>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547"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籍  贯</w:t>
            </w:r>
          </w:p>
        </w:tc>
        <w:tc>
          <w:tcPr>
            <w:tcW w:w="116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335"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婚姻状况</w:t>
            </w:r>
          </w:p>
        </w:tc>
        <w:tc>
          <w:tcPr>
            <w:tcW w:w="8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79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职称</w:t>
            </w:r>
          </w:p>
        </w:tc>
        <w:tc>
          <w:tcPr>
            <w:tcW w:w="1171"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732" w:type="dxa"/>
            <w:gridSpan w:val="2"/>
            <w:vMerge w:val="continue"/>
            <w:tcBorders>
              <w:top w:val="outset" w:color="F0F0F0" w:sz="6" w:space="0"/>
              <w:left w:val="single" w:color="auto" w:sz="4"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ind w:left="0"/>
              <w:jc w:val="left"/>
              <w:textAlignment w:val="auto"/>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592"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rPr>
              <w:t>毕业院校</w:t>
            </w:r>
            <w:r>
              <w:rPr>
                <w:rFonts w:hint="eastAsia" w:ascii="仿宋_GB2312" w:hAnsi="仿宋_GB2312" w:eastAsia="仿宋_GB2312" w:cs="仿宋_GB2312"/>
                <w:color w:val="auto"/>
                <w:kern w:val="0"/>
                <w:szCs w:val="21"/>
                <w:lang w:eastAsia="zh-CN"/>
              </w:rPr>
              <w:t>及专业</w:t>
            </w:r>
          </w:p>
        </w:tc>
        <w:tc>
          <w:tcPr>
            <w:tcW w:w="5306" w:type="dxa"/>
            <w:gridSpan w:val="7"/>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732" w:type="dxa"/>
            <w:gridSpan w:val="2"/>
            <w:vMerge w:val="continue"/>
            <w:tcBorders>
              <w:top w:val="outset" w:color="F0F0F0" w:sz="6" w:space="0"/>
              <w:left w:val="single" w:color="auto" w:sz="4" w:space="0"/>
              <w:bottom w:val="single" w:color="auto" w:sz="8"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ind w:left="0"/>
              <w:jc w:val="left"/>
              <w:textAlignment w:val="auto"/>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518"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身份证号</w:t>
            </w:r>
          </w:p>
        </w:tc>
        <w:tc>
          <w:tcPr>
            <w:tcW w:w="2496"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943"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是否免费师范生</w:t>
            </w:r>
          </w:p>
        </w:tc>
        <w:tc>
          <w:tcPr>
            <w:tcW w:w="86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732" w:type="dxa"/>
            <w:gridSpan w:val="2"/>
            <w:vMerge w:val="continue"/>
            <w:tcBorders>
              <w:top w:val="outset" w:color="F0F0F0" w:sz="6" w:space="0"/>
              <w:left w:val="single" w:color="auto" w:sz="4" w:space="0"/>
              <w:bottom w:val="single" w:color="auto" w:sz="4" w:space="0"/>
              <w:right w:val="single" w:color="auto" w:sz="8" w:space="0"/>
            </w:tcBorders>
            <w:noWrap w:val="0"/>
            <w:vAlign w:val="center"/>
          </w:tcPr>
          <w:p>
            <w:pPr>
              <w:keepNext w:val="0"/>
              <w:keepLines w:val="0"/>
              <w:pageBreakBefore w:val="0"/>
              <w:widowControl w:val="0"/>
              <w:kinsoku/>
              <w:overflowPunct/>
              <w:topLinePunct w:val="0"/>
              <w:autoSpaceDE/>
              <w:autoSpaceDN/>
              <w:bidi w:val="0"/>
              <w:adjustRightInd/>
              <w:snapToGrid/>
              <w:spacing w:line="360" w:lineRule="exact"/>
              <w:ind w:left="0"/>
              <w:jc w:val="left"/>
              <w:textAlignment w:val="auto"/>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713"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报考岗位及</w:t>
            </w:r>
          </w:p>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科目</w:t>
            </w:r>
          </w:p>
        </w:tc>
        <w:tc>
          <w:tcPr>
            <w:tcW w:w="2496"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p>
        </w:tc>
        <w:tc>
          <w:tcPr>
            <w:tcW w:w="163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家庭地址</w:t>
            </w:r>
          </w:p>
        </w:tc>
        <w:tc>
          <w:tcPr>
            <w:tcW w:w="2903" w:type="dxa"/>
            <w:gridSpan w:val="4"/>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p>
        </w:tc>
      </w:tr>
      <w:tr>
        <w:tblPrEx>
          <w:tblCellMar>
            <w:top w:w="0" w:type="dxa"/>
            <w:left w:w="0" w:type="dxa"/>
            <w:bottom w:w="0" w:type="dxa"/>
            <w:right w:w="0" w:type="dxa"/>
          </w:tblCellMar>
        </w:tblPrEx>
        <w:trPr>
          <w:trHeight w:val="713"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何时获取何种教师资格</w:t>
            </w:r>
          </w:p>
        </w:tc>
        <w:tc>
          <w:tcPr>
            <w:tcW w:w="2496"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63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联系电话</w:t>
            </w:r>
          </w:p>
        </w:tc>
        <w:tc>
          <w:tcPr>
            <w:tcW w:w="2903" w:type="dxa"/>
            <w:gridSpan w:val="4"/>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CellMar>
            <w:top w:w="0" w:type="dxa"/>
            <w:left w:w="0" w:type="dxa"/>
            <w:bottom w:w="0" w:type="dxa"/>
            <w:right w:w="0" w:type="dxa"/>
          </w:tblCellMar>
        </w:tblPrEx>
        <w:trPr>
          <w:trHeight w:val="713"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外语等级</w:t>
            </w:r>
          </w:p>
        </w:tc>
        <w:tc>
          <w:tcPr>
            <w:tcW w:w="13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14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计算机</w:t>
            </w:r>
          </w:p>
          <w:p>
            <w:pPr>
              <w:keepNext w:val="0"/>
              <w:keepLines w:val="0"/>
              <w:pageBreakBefore w:val="0"/>
              <w:widowControl w:val="0"/>
              <w:kinsoku/>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等级</w:t>
            </w:r>
          </w:p>
        </w:tc>
        <w:tc>
          <w:tcPr>
            <w:tcW w:w="163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c>
          <w:tcPr>
            <w:tcW w:w="1566"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普通话等级</w:t>
            </w:r>
          </w:p>
        </w:tc>
        <w:tc>
          <w:tcPr>
            <w:tcW w:w="1337"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CellMar>
            <w:top w:w="0" w:type="dxa"/>
            <w:left w:w="0" w:type="dxa"/>
            <w:bottom w:w="0" w:type="dxa"/>
            <w:right w:w="0" w:type="dxa"/>
          </w:tblCellMar>
        </w:tblPrEx>
        <w:trPr>
          <w:trHeight w:val="927"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教育经历（从</w:t>
            </w:r>
            <w:r>
              <w:rPr>
                <w:rFonts w:hint="eastAsia" w:ascii="仿宋_GB2312" w:hAnsi="仿宋_GB2312" w:eastAsia="仿宋_GB2312" w:cs="仿宋_GB2312"/>
                <w:color w:val="auto"/>
                <w:kern w:val="0"/>
                <w:szCs w:val="21"/>
                <w:lang w:eastAsia="zh-CN"/>
              </w:rPr>
              <w:t>高</w:t>
            </w:r>
            <w:r>
              <w:rPr>
                <w:rFonts w:hint="eastAsia" w:ascii="仿宋_GB2312" w:hAnsi="仿宋_GB2312" w:eastAsia="仿宋_GB2312" w:cs="仿宋_GB2312"/>
                <w:color w:val="auto"/>
                <w:kern w:val="0"/>
                <w:szCs w:val="21"/>
              </w:rPr>
              <w:t>中开始填起）</w:t>
            </w:r>
          </w:p>
        </w:tc>
        <w:tc>
          <w:tcPr>
            <w:tcW w:w="7038" w:type="dxa"/>
            <w:gridSpan w:val="9"/>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CellMar>
            <w:top w:w="0" w:type="dxa"/>
            <w:left w:w="0" w:type="dxa"/>
            <w:bottom w:w="0" w:type="dxa"/>
            <w:right w:w="0" w:type="dxa"/>
          </w:tblCellMar>
        </w:tblPrEx>
        <w:trPr>
          <w:trHeight w:val="1148" w:hRule="atLeast"/>
          <w:jc w:val="center"/>
        </w:trPr>
        <w:tc>
          <w:tcPr>
            <w:tcW w:w="17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工作经历</w:t>
            </w:r>
          </w:p>
        </w:tc>
        <w:tc>
          <w:tcPr>
            <w:tcW w:w="7038" w:type="dxa"/>
            <w:gridSpan w:val="9"/>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CellMar>
            <w:top w:w="0" w:type="dxa"/>
            <w:left w:w="0" w:type="dxa"/>
            <w:bottom w:w="0" w:type="dxa"/>
            <w:right w:w="0" w:type="dxa"/>
          </w:tblCellMar>
        </w:tblPrEx>
        <w:trPr>
          <w:trHeight w:val="1227"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县级及以上</w:t>
            </w:r>
            <w:r>
              <w:rPr>
                <w:rFonts w:hint="eastAsia" w:ascii="仿宋_GB2312" w:hAnsi="仿宋_GB2312" w:eastAsia="仿宋_GB2312" w:cs="仿宋_GB2312"/>
                <w:color w:val="auto"/>
                <w:kern w:val="0"/>
                <w:szCs w:val="21"/>
              </w:rPr>
              <w:t>获奖情况 （包含科研）</w:t>
            </w:r>
          </w:p>
        </w:tc>
        <w:tc>
          <w:tcPr>
            <w:tcW w:w="7038" w:type="dxa"/>
            <w:gridSpan w:val="9"/>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w:t>
            </w:r>
          </w:p>
        </w:tc>
      </w:tr>
      <w:tr>
        <w:tblPrEx>
          <w:tblCellMar>
            <w:top w:w="0" w:type="dxa"/>
            <w:left w:w="0" w:type="dxa"/>
            <w:bottom w:w="0" w:type="dxa"/>
            <w:right w:w="0" w:type="dxa"/>
          </w:tblCellMar>
        </w:tblPrEx>
        <w:trPr>
          <w:trHeight w:val="1416" w:hRule="atLeast"/>
          <w:jc w:val="center"/>
        </w:trPr>
        <w:tc>
          <w:tcPr>
            <w:tcW w:w="17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承诺书</w:t>
            </w:r>
          </w:p>
        </w:tc>
        <w:tc>
          <w:tcPr>
            <w:tcW w:w="7038" w:type="dxa"/>
            <w:gridSpan w:val="9"/>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firstLine="405"/>
              <w:jc w:val="lef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本人</w:t>
            </w:r>
            <w:r>
              <w:rPr>
                <w:rFonts w:hint="eastAsia" w:ascii="仿宋_GB2312" w:hAnsi="仿宋_GB2312" w:eastAsia="仿宋_GB2312" w:cs="仿宋_GB2312"/>
                <w:color w:val="auto"/>
                <w:szCs w:val="21"/>
                <w:lang w:eastAsia="zh-CN"/>
              </w:rPr>
              <w:t>已熟知华</w:t>
            </w:r>
            <w:r>
              <w:rPr>
                <w:rFonts w:hint="eastAsia" w:ascii="仿宋_GB2312" w:hAnsi="仿宋_GB2312" w:eastAsia="仿宋_GB2312" w:cs="仿宋_GB2312"/>
                <w:color w:val="auto"/>
                <w:szCs w:val="21"/>
                <w:lang w:val="en-US" w:eastAsia="zh-CN"/>
              </w:rPr>
              <w:t>阴市</w:t>
            </w:r>
            <w:r>
              <w:rPr>
                <w:rFonts w:hint="eastAsia" w:ascii="仿宋_GB2312" w:hAnsi="仿宋_GB2312" w:eastAsia="仿宋_GB2312" w:cs="仿宋_GB2312"/>
                <w:color w:val="auto"/>
                <w:szCs w:val="21"/>
                <w:lang w:eastAsia="zh-CN"/>
              </w:rPr>
              <w:t>公开选调</w:t>
            </w:r>
            <w:r>
              <w:rPr>
                <w:rFonts w:hint="eastAsia" w:ascii="仿宋_GB2312" w:hAnsi="仿宋_GB2312" w:eastAsia="仿宋_GB2312" w:cs="仿宋_GB2312"/>
                <w:color w:val="auto"/>
                <w:szCs w:val="21"/>
                <w:lang w:val="en-US" w:eastAsia="zh-CN"/>
              </w:rPr>
              <w:t>优秀</w:t>
            </w:r>
            <w:r>
              <w:rPr>
                <w:rFonts w:hint="eastAsia" w:ascii="仿宋_GB2312" w:hAnsi="仿宋_GB2312" w:eastAsia="仿宋_GB2312" w:cs="仿宋_GB2312"/>
                <w:color w:val="auto"/>
                <w:szCs w:val="21"/>
                <w:lang w:eastAsia="zh-CN"/>
              </w:rPr>
              <w:t>教师公告内容，</w:t>
            </w:r>
            <w:r>
              <w:rPr>
                <w:rFonts w:hint="eastAsia" w:ascii="仿宋_GB2312" w:hAnsi="仿宋_GB2312" w:eastAsia="仿宋_GB2312" w:cs="仿宋_GB2312"/>
                <w:color w:val="auto"/>
                <w:szCs w:val="21"/>
              </w:rPr>
              <w:t>自愿参加</w:t>
            </w:r>
            <w:r>
              <w:rPr>
                <w:rFonts w:hint="eastAsia" w:ascii="仿宋_GB2312" w:hAnsi="仿宋_GB2312" w:eastAsia="仿宋_GB2312" w:cs="仿宋_GB2312"/>
                <w:color w:val="auto"/>
                <w:szCs w:val="21"/>
                <w:lang w:eastAsia="zh-CN"/>
              </w:rPr>
              <w:t>本次</w:t>
            </w:r>
            <w:r>
              <w:rPr>
                <w:rFonts w:hint="eastAsia" w:ascii="仿宋_GB2312" w:hAnsi="仿宋_GB2312" w:eastAsia="仿宋_GB2312" w:cs="仿宋_GB2312"/>
                <w:color w:val="auto"/>
                <w:szCs w:val="21"/>
              </w:rPr>
              <w:t>公开选调，</w:t>
            </w:r>
            <w:r>
              <w:rPr>
                <w:rFonts w:hint="eastAsia" w:ascii="仿宋_GB2312" w:hAnsi="仿宋_GB2312" w:eastAsia="仿宋_GB2312" w:cs="仿宋_GB2312"/>
                <w:color w:val="auto"/>
                <w:szCs w:val="21"/>
                <w:lang w:eastAsia="zh-CN"/>
              </w:rPr>
              <w:t>身体健康，无既往病史，能胜任一线教学工作。</w:t>
            </w:r>
            <w:r>
              <w:rPr>
                <w:rFonts w:hint="eastAsia" w:ascii="仿宋_GB2312" w:hAnsi="仿宋_GB2312" w:eastAsia="仿宋_GB2312" w:cs="仿宋_GB2312"/>
                <w:color w:val="auto"/>
                <w:szCs w:val="21"/>
              </w:rPr>
              <w:t>承诺以上信息真实，如有不符</w:t>
            </w:r>
            <w:r>
              <w:rPr>
                <w:rFonts w:hint="eastAsia" w:ascii="仿宋_GB2312" w:hAnsi="仿宋_GB2312" w:eastAsia="仿宋_GB2312" w:cs="仿宋_GB2312"/>
                <w:color w:val="auto"/>
                <w:szCs w:val="21"/>
                <w:lang w:eastAsia="zh-CN"/>
              </w:rPr>
              <w:t>，愿承担一切由此产生的后果</w:t>
            </w:r>
            <w:r>
              <w:rPr>
                <w:rFonts w:hint="eastAsia" w:ascii="仿宋_GB2312" w:hAnsi="仿宋_GB2312" w:eastAsia="仿宋_GB2312" w:cs="仿宋_GB2312"/>
                <w:color w:val="auto"/>
                <w:szCs w:val="21"/>
              </w:rPr>
              <w:t>。</w:t>
            </w:r>
          </w:p>
          <w:p>
            <w:pPr>
              <w:keepNext w:val="0"/>
              <w:keepLines w:val="0"/>
              <w:pageBreakBefore w:val="0"/>
              <w:widowControl w:val="0"/>
              <w:kinsoku/>
              <w:overflowPunct/>
              <w:topLinePunct w:val="0"/>
              <w:autoSpaceDE/>
              <w:autoSpaceDN/>
              <w:bidi w:val="0"/>
              <w:adjustRightInd/>
              <w:snapToGrid/>
              <w:spacing w:line="360" w:lineRule="exact"/>
              <w:ind w:left="0" w:firstLine="405"/>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 xml:space="preserve">                              本人签字</w:t>
            </w:r>
            <w:r>
              <w:rPr>
                <w:rFonts w:hint="eastAsia" w:ascii="仿宋_GB2312" w:hAnsi="仿宋_GB2312" w:eastAsia="仿宋_GB2312" w:cs="仿宋_GB2312"/>
                <w:color w:val="auto"/>
                <w:szCs w:val="21"/>
                <w:lang w:eastAsia="zh-CN"/>
              </w:rPr>
              <w:t>（指纹）</w:t>
            </w:r>
            <w:r>
              <w:rPr>
                <w:rFonts w:hint="eastAsia" w:ascii="仿宋_GB2312" w:hAnsi="仿宋_GB2312" w:eastAsia="仿宋_GB2312" w:cs="仿宋_GB2312"/>
                <w:color w:val="auto"/>
                <w:szCs w:val="21"/>
              </w:rPr>
              <w:t>：</w:t>
            </w:r>
          </w:p>
        </w:tc>
      </w:tr>
      <w:tr>
        <w:tblPrEx>
          <w:tblCellMar>
            <w:top w:w="0" w:type="dxa"/>
            <w:left w:w="0" w:type="dxa"/>
            <w:bottom w:w="0" w:type="dxa"/>
            <w:right w:w="0" w:type="dxa"/>
          </w:tblCellMar>
        </w:tblPrEx>
        <w:trPr>
          <w:trHeight w:val="1677" w:hRule="atLeast"/>
          <w:jc w:val="center"/>
        </w:trPr>
        <w:tc>
          <w:tcPr>
            <w:tcW w:w="1779"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所在县（区）教育局或人社局意见</w:t>
            </w:r>
          </w:p>
        </w:tc>
        <w:tc>
          <w:tcPr>
            <w:tcW w:w="7038" w:type="dxa"/>
            <w:gridSpan w:val="9"/>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firstLine="4073" w:firstLineChars="1940"/>
              <w:jc w:val="left"/>
              <w:textAlignment w:val="auto"/>
              <w:rPr>
                <w:rFonts w:hint="eastAsia" w:ascii="仿宋_GB2312" w:hAnsi="仿宋_GB2312" w:eastAsia="仿宋_GB2312" w:cs="仿宋_GB2312"/>
                <w:color w:val="auto"/>
                <w:szCs w:val="21"/>
              </w:rPr>
            </w:pPr>
          </w:p>
          <w:p>
            <w:pPr>
              <w:keepNext w:val="0"/>
              <w:keepLines w:val="0"/>
              <w:pageBreakBefore w:val="0"/>
              <w:widowControl w:val="0"/>
              <w:kinsoku/>
              <w:overflowPunct/>
              <w:topLinePunct w:val="0"/>
              <w:autoSpaceDE/>
              <w:autoSpaceDN/>
              <w:bidi w:val="0"/>
              <w:adjustRightInd/>
              <w:snapToGrid/>
              <w:spacing w:line="360" w:lineRule="exact"/>
              <w:ind w:left="0" w:firstLine="2835" w:firstLineChars="1350"/>
              <w:jc w:val="lef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(盖 章)</w:t>
            </w:r>
          </w:p>
          <w:p>
            <w:pPr>
              <w:keepNext w:val="0"/>
              <w:keepLines w:val="0"/>
              <w:pageBreakBefore w:val="0"/>
              <w:widowControl w:val="0"/>
              <w:kinsoku/>
              <w:overflowPunct/>
              <w:topLinePunct w:val="0"/>
              <w:autoSpaceDE/>
              <w:autoSpaceDN/>
              <w:bidi w:val="0"/>
              <w:adjustRightInd/>
              <w:snapToGrid/>
              <w:spacing w:line="360" w:lineRule="exact"/>
              <w:ind w:left="0" w:firstLine="4699" w:firstLineChars="2238"/>
              <w:jc w:val="left"/>
              <w:textAlignment w:val="auto"/>
              <w:rPr>
                <w:rFonts w:hint="eastAsia"/>
                <w:color w:val="auto"/>
              </w:rPr>
            </w:pPr>
            <w:r>
              <w:rPr>
                <w:rFonts w:hint="eastAsia" w:ascii="仿宋_GB2312" w:hAnsi="仿宋_GB2312" w:eastAsia="仿宋_GB2312" w:cs="仿宋_GB2312"/>
                <w:color w:val="auto"/>
                <w:szCs w:val="21"/>
              </w:rPr>
              <w:t>年   月    日</w:t>
            </w:r>
          </w:p>
        </w:tc>
      </w:tr>
      <w:tr>
        <w:tblPrEx>
          <w:tblCellMar>
            <w:top w:w="0" w:type="dxa"/>
            <w:left w:w="0" w:type="dxa"/>
            <w:bottom w:w="0" w:type="dxa"/>
            <w:right w:w="0" w:type="dxa"/>
          </w:tblCellMar>
        </w:tblPrEx>
        <w:trPr>
          <w:trHeight w:val="1084" w:hRule="atLeast"/>
          <w:jc w:val="center"/>
        </w:trPr>
        <w:tc>
          <w:tcPr>
            <w:tcW w:w="1779" w:type="dxa"/>
            <w:tcBorders>
              <w:top w:val="single" w:color="auto" w:sz="4"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color w:val="auto"/>
                <w:szCs w:val="21"/>
              </w:rPr>
            </w:pPr>
          </w:p>
        </w:tc>
        <w:tc>
          <w:tcPr>
            <w:tcW w:w="7038" w:type="dxa"/>
            <w:gridSpan w:val="9"/>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tabs>
                <w:tab w:val="left" w:pos="2064"/>
              </w:tabs>
              <w:kinsoku/>
              <w:overflowPunct/>
              <w:topLinePunct w:val="0"/>
              <w:autoSpaceDE/>
              <w:autoSpaceDN/>
              <w:bidi w:val="0"/>
              <w:adjustRightInd/>
              <w:snapToGrid/>
              <w:spacing w:line="360" w:lineRule="exact"/>
              <w:ind w:left="0" w:firstLine="4284" w:firstLineChars="2040"/>
              <w:jc w:val="left"/>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ab/>
            </w:r>
          </w:p>
        </w:tc>
      </w:tr>
    </w:tbl>
    <w:p>
      <w:pPr>
        <w:keepNext w:val="0"/>
        <w:keepLines w:val="0"/>
        <w:pageBreakBefore w:val="0"/>
        <w:kinsoku/>
        <w:overflowPunct/>
        <w:topLinePunct w:val="0"/>
        <w:autoSpaceDE/>
        <w:autoSpaceDN/>
        <w:bidi w:val="0"/>
        <w:adjustRightInd/>
        <w:spacing w:line="560" w:lineRule="exact"/>
        <w:ind w:left="0" w:firstLine="620" w:firstLineChars="200"/>
        <w:textAlignment w:val="auto"/>
        <w:rPr>
          <w:rFonts w:hint="eastAsia" w:ascii="宋体" w:hAnsi="宋体" w:eastAsia="宋体" w:cs="宋体"/>
          <w:i w:val="0"/>
          <w:iCs w:val="0"/>
          <w:caps w:val="0"/>
          <w:color w:val="auto"/>
          <w:spacing w:val="30"/>
          <w:sz w:val="25"/>
          <w:szCs w:val="25"/>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MWRkMTE2ZDA3NTBjOTBmMjUxMDE3YTJiODJlN2UifQ=="/>
  </w:docVars>
  <w:rsids>
    <w:rsidRoot w:val="3A033CF6"/>
    <w:rsid w:val="03D75EF9"/>
    <w:rsid w:val="050E6BAF"/>
    <w:rsid w:val="281954CA"/>
    <w:rsid w:val="2D8868B3"/>
    <w:rsid w:val="31C0486E"/>
    <w:rsid w:val="3A033CF6"/>
    <w:rsid w:val="3B730DDD"/>
    <w:rsid w:val="522D3402"/>
    <w:rsid w:val="59AC29EA"/>
    <w:rsid w:val="69445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1808</Words>
  <Characters>1909</Characters>
  <Lines>0</Lines>
  <Paragraphs>0</Paragraphs>
  <TotalTime>2</TotalTime>
  <ScaleCrop>false</ScaleCrop>
  <LinksUpToDate>false</LinksUpToDate>
  <CharactersWithSpaces>2024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2023-07-07T08:19:00Z</dcterms:created>
  <dc:creator>华山邪神</dc:creator>
  <cp:lastModifiedBy>华山邪神</cp:lastModifiedBy>
  <cp:lastPrinted>2023-07-13T00:46:00Z</cp:lastPrinted>
  <dcterms:modified xsi:type="dcterms:W3CDTF">2023-07-13T00:53:37Z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856E58A4985E42C39E82FFE209ED14A5_11</vt:lpwstr>
  </property>
</Properties>
</file>